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8B" w:rsidRPr="006A7969" w:rsidRDefault="00DA6C05" w:rsidP="003A7E8B">
      <w:pPr>
        <w:rPr>
          <w:rFonts w:ascii="BrownPro Light" w:eastAsia="Times New Roman" w:hAnsi="BrownPro Light" w:cs="Arial"/>
          <w:b/>
          <w:bCs/>
          <w:color w:val="000000" w:themeColor="text1"/>
          <w:sz w:val="22"/>
          <w:szCs w:val="22"/>
          <w:lang w:eastAsia="de-DE"/>
        </w:rPr>
      </w:pPr>
      <w:r w:rsidRPr="006A7969">
        <w:rPr>
          <w:rFonts w:ascii="BrownPro Light" w:hAnsi="BrownPro Light" w:cs="Arial"/>
          <w:b/>
          <w:bCs/>
          <w:color w:val="000000" w:themeColor="text1"/>
          <w:sz w:val="28"/>
          <w:szCs w:val="28"/>
        </w:rPr>
        <w:t>Muster-Schutzkonzept für Weiterbildungsanbieter auf Grundlage des Grobkonzepts des SVEB vom 4.5.2020</w:t>
      </w:r>
    </w:p>
    <w:p w:rsidR="003A7E8B" w:rsidRPr="006A7969" w:rsidRDefault="003A7E8B" w:rsidP="003A7E8B">
      <w:pPr>
        <w:rPr>
          <w:rFonts w:ascii="BrownPro Light" w:eastAsia="Times New Roman" w:hAnsi="BrownPro Light" w:cs="Arial"/>
          <w:color w:val="000000" w:themeColor="text1"/>
          <w:sz w:val="22"/>
          <w:szCs w:val="22"/>
          <w:lang w:eastAsia="de-DE"/>
        </w:rPr>
      </w:pPr>
    </w:p>
    <w:p w:rsidR="003A7E8B" w:rsidRPr="006A7969" w:rsidRDefault="003A7E8B" w:rsidP="003A7E8B">
      <w:pPr>
        <w:rPr>
          <w:rFonts w:ascii="BrownPro Light" w:eastAsia="Times New Roman" w:hAnsi="BrownPro Light" w:cs="Arial"/>
          <w:color w:val="000000" w:themeColor="text1"/>
          <w:sz w:val="22"/>
          <w:szCs w:val="22"/>
          <w:lang w:eastAsia="de-DE"/>
        </w:rPr>
      </w:pPr>
    </w:p>
    <w:p w:rsidR="00DA6C05" w:rsidRPr="006A7969" w:rsidRDefault="00DA6C05" w:rsidP="003A7E8B">
      <w:pPr>
        <w:rPr>
          <w:rFonts w:ascii="BrownPro Light" w:eastAsia="Times New Roman" w:hAnsi="BrownPro Light" w:cs="Arial"/>
          <w:color w:val="000000" w:themeColor="text1"/>
          <w:lang w:eastAsia="de-DE"/>
        </w:rPr>
      </w:pPr>
      <w:r w:rsidRPr="006A7969">
        <w:rPr>
          <w:rFonts w:ascii="BrownPro Light" w:eastAsia="Times New Roman" w:hAnsi="BrownPro Light" w:cs="Arial"/>
          <w:color w:val="000000" w:themeColor="text1"/>
          <w:highlight w:val="lightGray"/>
          <w:lang w:eastAsia="de-DE"/>
        </w:rPr>
        <w:t>Anbietername</w:t>
      </w:r>
      <w:r w:rsidRPr="006A7969">
        <w:rPr>
          <w:rFonts w:ascii="BrownPro Light" w:eastAsia="Times New Roman" w:hAnsi="BrownPro Light" w:cs="Arial"/>
          <w:color w:val="000000" w:themeColor="text1"/>
          <w:lang w:eastAsia="de-DE"/>
        </w:rPr>
        <w:br/>
      </w:r>
      <w:r w:rsidRPr="006A7969">
        <w:rPr>
          <w:rFonts w:ascii="BrownPro Light" w:eastAsia="Times New Roman" w:hAnsi="BrownPro Light" w:cs="Arial"/>
          <w:color w:val="000000" w:themeColor="text1"/>
          <w:lang w:eastAsia="de-DE"/>
        </w:rPr>
        <w:tab/>
      </w:r>
      <w:r w:rsidRPr="006A7969">
        <w:rPr>
          <w:rFonts w:ascii="BrownPro Light" w:eastAsia="Times New Roman" w:hAnsi="BrownPro Light" w:cs="Arial"/>
          <w:color w:val="000000" w:themeColor="text1"/>
          <w:lang w:eastAsia="de-DE"/>
        </w:rPr>
        <w:tab/>
      </w:r>
    </w:p>
    <w:p w:rsidR="00DA6C05" w:rsidRPr="006A7969" w:rsidRDefault="00DA6C05" w:rsidP="003A7E8B">
      <w:pPr>
        <w:rPr>
          <w:rFonts w:ascii="BrownPro Light" w:eastAsia="Times New Roman" w:hAnsi="BrownPro Light" w:cs="Arial"/>
          <w:color w:val="000000" w:themeColor="text1"/>
          <w:lang w:eastAsia="de-DE"/>
        </w:rPr>
      </w:pPr>
      <w:r w:rsidRPr="006A7969">
        <w:rPr>
          <w:rFonts w:ascii="BrownPro Light" w:eastAsia="Times New Roman" w:hAnsi="BrownPro Light" w:cs="Arial"/>
          <w:color w:val="000000" w:themeColor="text1"/>
          <w:highlight w:val="lightGray"/>
          <w:lang w:eastAsia="de-DE"/>
        </w:rPr>
        <w:t>Ort und Datum</w:t>
      </w:r>
    </w:p>
    <w:p w:rsidR="00DA6C05" w:rsidRPr="006A7969" w:rsidRDefault="00DA6C05" w:rsidP="003A7E8B">
      <w:pPr>
        <w:rPr>
          <w:rFonts w:ascii="BrownPro Light" w:eastAsia="Times New Roman" w:hAnsi="BrownPro Light" w:cs="Arial"/>
          <w:color w:val="000000" w:themeColor="text1"/>
          <w:sz w:val="22"/>
          <w:szCs w:val="22"/>
          <w:lang w:eastAsia="de-DE"/>
        </w:rPr>
      </w:pPr>
    </w:p>
    <w:p w:rsidR="003A7E8B" w:rsidRDefault="003A7E8B" w:rsidP="003A7E8B">
      <w:pPr>
        <w:rPr>
          <w:rFonts w:ascii="BrownPro Light" w:hAnsi="BrownPro Light" w:cs="Arial"/>
          <w:color w:val="000000" w:themeColor="text1"/>
          <w:sz w:val="22"/>
          <w:szCs w:val="22"/>
        </w:rPr>
      </w:pPr>
    </w:p>
    <w:p w:rsidR="003A3B80" w:rsidRPr="006A7969" w:rsidRDefault="003A3B80" w:rsidP="003A7E8B">
      <w:pPr>
        <w:rPr>
          <w:rFonts w:ascii="BrownPro Light" w:hAnsi="BrownPro Light" w:cs="Arial"/>
          <w:color w:val="000000" w:themeColor="text1"/>
          <w:sz w:val="22"/>
          <w:szCs w:val="22"/>
        </w:rPr>
      </w:pPr>
    </w:p>
    <w:p w:rsidR="003A7E8B" w:rsidRPr="003A3B80" w:rsidRDefault="003A7E8B" w:rsidP="003A7E8B">
      <w:pPr>
        <w:rPr>
          <w:rFonts w:ascii="BrownPro Light" w:hAnsi="BrownPro Light" w:cs="Arial"/>
          <w:b/>
          <w:bCs/>
          <w:color w:val="000000" w:themeColor="text1"/>
          <w:sz w:val="22"/>
          <w:szCs w:val="22"/>
        </w:rPr>
      </w:pPr>
      <w:r w:rsidRPr="003A3B80">
        <w:rPr>
          <w:rFonts w:ascii="BrownPro Light" w:hAnsi="BrownPro Light" w:cs="Arial"/>
          <w:b/>
          <w:bCs/>
          <w:color w:val="000000" w:themeColor="text1"/>
        </w:rPr>
        <w:t>Massnahmen der Weiterbildungsanbieter zur Einhaltung der Hygiene- und Verhaltensregeln des Bundes bei Präsenzveranstaltungen zum Schutz der Teilnehmenden sowie der Ausbildenden</w:t>
      </w:r>
      <w:r w:rsidRPr="003A3B80">
        <w:rPr>
          <w:rFonts w:ascii="BrownPro Light" w:hAnsi="BrownPro Light" w:cs="Arial"/>
          <w:b/>
          <w:bCs/>
          <w:color w:val="000000" w:themeColor="text1"/>
        </w:rPr>
        <w:br/>
      </w:r>
    </w:p>
    <w:p w:rsidR="00DA6C05" w:rsidRPr="006A7969" w:rsidRDefault="00DA6C05" w:rsidP="003A7E8B">
      <w:pPr>
        <w:rPr>
          <w:rFonts w:ascii="BrownPro Light" w:hAnsi="BrownPro Light" w:cs="Arial"/>
          <w:color w:val="000000" w:themeColor="text1"/>
        </w:rPr>
      </w:pPr>
    </w:p>
    <w:p w:rsidR="003A7E8B" w:rsidRPr="006A7969" w:rsidRDefault="003A7E8B" w:rsidP="003A7E8B">
      <w:pPr>
        <w:pStyle w:val="Listenabsatz"/>
        <w:numPr>
          <w:ilvl w:val="0"/>
          <w:numId w:val="23"/>
        </w:numPr>
        <w:rPr>
          <w:rFonts w:ascii="BrownPro Light" w:hAnsi="BrownPro Light" w:cs="Arial"/>
          <w:color w:val="000000" w:themeColor="text1"/>
        </w:rPr>
      </w:pPr>
      <w:r w:rsidRPr="006A7969">
        <w:rPr>
          <w:rFonts w:ascii="BrownPro Light" w:hAnsi="BrownPro Light" w:cs="Arial"/>
          <w:color w:val="000000" w:themeColor="text1"/>
        </w:rPr>
        <w:t xml:space="preserve">Massnahmen zur Einhaltung der Vorgaben des BAG betreffend </w:t>
      </w:r>
      <w:r w:rsidRPr="003A3B80">
        <w:rPr>
          <w:rFonts w:ascii="BrownPro Light" w:hAnsi="BrownPro Light" w:cs="Arial"/>
          <w:b/>
          <w:bCs/>
          <w:color w:val="000000" w:themeColor="text1"/>
        </w:rPr>
        <w:t>soziale Distanz</w:t>
      </w:r>
      <w:r w:rsidRPr="006A7969">
        <w:rPr>
          <w:rFonts w:ascii="BrownPro Light" w:hAnsi="BrownPro Light" w:cs="Arial"/>
          <w:color w:val="000000" w:themeColor="text1"/>
        </w:rPr>
        <w:t xml:space="preserve">: </w:t>
      </w:r>
    </w:p>
    <w:p w:rsidR="003A7E8B" w:rsidRPr="006A7969" w:rsidRDefault="003A7E8B" w:rsidP="003A7E8B">
      <w:pPr>
        <w:ind w:left="708"/>
        <w:rPr>
          <w:rFonts w:ascii="BrownPro Light" w:hAnsi="BrownPro Light" w:cs="Arial"/>
          <w:color w:val="000000" w:themeColor="text1"/>
        </w:rPr>
      </w:pPr>
    </w:p>
    <w:tbl>
      <w:tblPr>
        <w:tblStyle w:val="Tabellenraster"/>
        <w:tblW w:w="0" w:type="auto"/>
        <w:tblInd w:w="-5" w:type="dxa"/>
        <w:tblLook w:val="04A0" w:firstRow="1" w:lastRow="0" w:firstColumn="1" w:lastColumn="0" w:noHBand="0" w:noVBand="1"/>
      </w:tblPr>
      <w:tblGrid>
        <w:gridCol w:w="7371"/>
        <w:gridCol w:w="7371"/>
      </w:tblGrid>
      <w:tr w:rsidR="00DA6C05" w:rsidRPr="003A3B80" w:rsidTr="00DA6C05">
        <w:tc>
          <w:tcPr>
            <w:tcW w:w="7371" w:type="dxa"/>
            <w:shd w:val="clear" w:color="auto" w:fill="D9D9D9" w:themeFill="background1" w:themeFillShade="D9"/>
          </w:tcPr>
          <w:p w:rsidR="00DA6C05" w:rsidRPr="003A3B80" w:rsidRDefault="00DA6C05" w:rsidP="00DA6C05">
            <w:pPr>
              <w:spacing w:before="120" w:after="100"/>
              <w:rPr>
                <w:rFonts w:ascii="BrownPro Light" w:hAnsi="BrownPro Light" w:cs="Arial"/>
                <w:b/>
                <w:bCs/>
                <w:color w:val="000000" w:themeColor="text1"/>
                <w:sz w:val="22"/>
                <w:szCs w:val="22"/>
              </w:rPr>
            </w:pPr>
            <w:r w:rsidRPr="003A3B80">
              <w:rPr>
                <w:rFonts w:ascii="BrownPro Light" w:hAnsi="BrownPro Light" w:cs="Arial"/>
                <w:b/>
                <w:bCs/>
                <w:color w:val="000000" w:themeColor="text1"/>
                <w:sz w:val="22"/>
                <w:szCs w:val="22"/>
              </w:rPr>
              <w:t>Vorgaben Grobkonzept SVEB</w:t>
            </w:r>
          </w:p>
        </w:tc>
        <w:tc>
          <w:tcPr>
            <w:tcW w:w="7371" w:type="dxa"/>
            <w:shd w:val="clear" w:color="auto" w:fill="D9D9D9" w:themeFill="background1" w:themeFillShade="D9"/>
          </w:tcPr>
          <w:p w:rsidR="00DA6C05" w:rsidRPr="003A3B80" w:rsidRDefault="00DA6C05" w:rsidP="00DA6C05">
            <w:pPr>
              <w:spacing w:before="120" w:after="120"/>
              <w:rPr>
                <w:rFonts w:ascii="BrownPro Light" w:hAnsi="BrownPro Light" w:cs="Arial"/>
                <w:b/>
                <w:bCs/>
                <w:color w:val="000000" w:themeColor="text1"/>
                <w:sz w:val="22"/>
                <w:szCs w:val="22"/>
              </w:rPr>
            </w:pPr>
            <w:r w:rsidRPr="003A3B80">
              <w:rPr>
                <w:rFonts w:ascii="BrownPro Light" w:hAnsi="BrownPro Light" w:cs="Arial"/>
                <w:b/>
                <w:bCs/>
                <w:color w:val="000000" w:themeColor="text1"/>
                <w:sz w:val="22"/>
                <w:szCs w:val="22"/>
              </w:rPr>
              <w:t xml:space="preserve">Massnahmen </w:t>
            </w:r>
            <w:r w:rsidRPr="003A3B80">
              <w:rPr>
                <w:rFonts w:ascii="BrownPro Light" w:hAnsi="BrownPro Light" w:cs="Arial"/>
                <w:b/>
                <w:bCs/>
                <w:color w:val="000000" w:themeColor="text1"/>
                <w:sz w:val="22"/>
                <w:szCs w:val="22"/>
              </w:rPr>
              <w:br/>
            </w: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In den Kurs-und Gruppenräumen sowie in den Pausen- und Aufenthaltsräumen, Verkehrszonen werden die Sitzgelegenheiten so eingerichtet, dass die Teilnehmenden den Abstand von 2 Meter untereinander und zu den Ausbildenden einhalten können. </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Die Anzahl Teilnehmende wird entsprechend den Platzverhältnissen in den Kurs- und Gruppenräumen soweit reduziert, dass die Einhaltung der Abstandsregelung möglich ist.</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Die Unterrichtsgestaltung (insbes. Methodenwahl) wird so angepasst, dass die Distanzregeln eingehalten werden können.</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 xml:space="preserve">Die Pausen werden nach Bedarf so gestaffelt, dass die Abstandsregeln auch in Pausen- und Aufenthaltsräumen sowie den WC Anlagen eingehalten werden können. </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Bei Kundenschaltern werden Bodenmarkierungen angebracht, um die Einhaltung des Abstandes von mindestens 2 Metern zwischen den Kund/innen zu gewährleisten. An den Kundenschaltern werden nach Möglichkeit Plexiglasscheiben oder andere Abtrennungen angebracht.</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Auch in Verpflegungsstätten sind die Abstandsregeln einzuhalten. Wir verweisen auf das Schutzkonzept für den </w:t>
            </w:r>
            <w:proofErr w:type="spellStart"/>
            <w:r w:rsidRPr="006A7969">
              <w:rPr>
                <w:rFonts w:ascii="BrownPro Light" w:hAnsi="BrownPro Light" w:cs="Arial"/>
                <w:color w:val="000000" w:themeColor="text1"/>
                <w:sz w:val="22"/>
                <w:szCs w:val="22"/>
              </w:rPr>
              <w:t>Gastro</w:t>
            </w:r>
            <w:proofErr w:type="spellEnd"/>
            <w:r w:rsidRPr="006A7969">
              <w:rPr>
                <w:rFonts w:ascii="BrownPro Light" w:hAnsi="BrownPro Light" w:cs="Arial"/>
                <w:color w:val="000000" w:themeColor="text1"/>
                <w:sz w:val="22"/>
                <w:szCs w:val="22"/>
              </w:rPr>
              <w:t xml:space="preserve">-Bereich, welches </w:t>
            </w:r>
            <w:proofErr w:type="spellStart"/>
            <w:r w:rsidRPr="006A7969">
              <w:rPr>
                <w:rFonts w:ascii="BrownPro Light" w:hAnsi="BrownPro Light" w:cs="Arial"/>
                <w:color w:val="000000" w:themeColor="text1"/>
                <w:sz w:val="22"/>
                <w:szCs w:val="22"/>
              </w:rPr>
              <w:t>Gastro</w:t>
            </w:r>
            <w:proofErr w:type="spellEnd"/>
            <w:r w:rsidRPr="006A7969">
              <w:rPr>
                <w:rFonts w:ascii="BrownPro Light" w:hAnsi="BrownPro Light" w:cs="Arial"/>
                <w:color w:val="000000" w:themeColor="text1"/>
                <w:sz w:val="22"/>
                <w:szCs w:val="22"/>
              </w:rPr>
              <w:t xml:space="preserve">-Suisse veröffentlichen wird (https://www.gastrosuisse.ch/de/angebot/recht-gesetz/gastrosuisse-merkblaetter/) </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Die Abstandsregelungen werden auch auf Exkursionen im Freien eingehalten. </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Aktivitäten mit höheren Übertragungsrisiken werden nach Möglichkeit vermieden, zum Beispiel Aktivitäten mit engen interpersonellen Kontakten oder grossem Personenaufkommen, wie Diplomfeiern etc.</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bl>
    <w:p w:rsidR="00401606" w:rsidRPr="006A7969" w:rsidRDefault="00401606" w:rsidP="00DD07A5">
      <w:pPr>
        <w:pStyle w:val="Listenabsatz"/>
        <w:spacing w:before="120"/>
        <w:ind w:left="714"/>
        <w:contextualSpacing w:val="0"/>
        <w:rPr>
          <w:rFonts w:ascii="BrownPro Light" w:hAnsi="BrownPro Light" w:cs="Arial"/>
          <w:color w:val="000000" w:themeColor="text1"/>
          <w:sz w:val="22"/>
          <w:szCs w:val="22"/>
        </w:rPr>
      </w:pPr>
    </w:p>
    <w:p w:rsidR="003A7E8B" w:rsidRPr="006A7969" w:rsidRDefault="003A7E8B" w:rsidP="003A7E8B">
      <w:pPr>
        <w:spacing w:before="120"/>
        <w:rPr>
          <w:rFonts w:ascii="BrownPro Light" w:hAnsi="BrownPro Light" w:cs="Arial"/>
          <w:color w:val="000000" w:themeColor="text1"/>
          <w:sz w:val="22"/>
          <w:szCs w:val="22"/>
        </w:rPr>
      </w:pPr>
      <w:r w:rsidRPr="003A3B80">
        <w:rPr>
          <w:rFonts w:ascii="BrownPro Light" w:hAnsi="BrownPro Light" w:cs="Arial"/>
          <w:b/>
          <w:bCs/>
          <w:color w:val="000000" w:themeColor="text1"/>
          <w:sz w:val="22"/>
          <w:szCs w:val="22"/>
        </w:rPr>
        <w:t>Sonderregelung</w:t>
      </w:r>
      <w:r w:rsidRPr="006A7969">
        <w:rPr>
          <w:rFonts w:ascii="BrownPro Light" w:hAnsi="BrownPro Light" w:cs="Arial"/>
          <w:color w:val="000000" w:themeColor="text1"/>
          <w:sz w:val="22"/>
          <w:szCs w:val="22"/>
        </w:rPr>
        <w:t xml:space="preserve"> für Weiterbildungsangebote, in denen Körperkontakt unvermeidlich ist: </w:t>
      </w:r>
      <w:r w:rsidR="00DA6C05" w:rsidRPr="006A7969">
        <w:rPr>
          <w:rFonts w:ascii="BrownPro Light" w:hAnsi="BrownPro Light" w:cs="Arial"/>
          <w:color w:val="000000" w:themeColor="text1"/>
          <w:sz w:val="22"/>
          <w:szCs w:val="22"/>
        </w:rPr>
        <w:br/>
      </w:r>
    </w:p>
    <w:tbl>
      <w:tblPr>
        <w:tblStyle w:val="Tabellenraster"/>
        <w:tblW w:w="0" w:type="auto"/>
        <w:tblInd w:w="-5" w:type="dxa"/>
        <w:tblLook w:val="04A0" w:firstRow="1" w:lastRow="0" w:firstColumn="1" w:lastColumn="0" w:noHBand="0" w:noVBand="1"/>
      </w:tblPr>
      <w:tblGrid>
        <w:gridCol w:w="7371"/>
        <w:gridCol w:w="7473"/>
      </w:tblGrid>
      <w:tr w:rsidR="00DA6C05" w:rsidRPr="006A7969" w:rsidTr="00DA6C05">
        <w:tc>
          <w:tcPr>
            <w:tcW w:w="7371" w:type="dxa"/>
          </w:tcPr>
          <w:p w:rsidR="00DA6C05" w:rsidRPr="006A7969" w:rsidRDefault="00DA6C05" w:rsidP="00371456">
            <w:pPr>
              <w:pStyle w:val="Listenabsatz"/>
              <w:numPr>
                <w:ilvl w:val="0"/>
                <w:numId w:val="21"/>
              </w:numPr>
              <w:spacing w:before="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Das Tragen von Masken für Teilnehmende und Ausbildende ist obligatorisch.</w:t>
            </w:r>
          </w:p>
        </w:tc>
        <w:tc>
          <w:tcPr>
            <w:tcW w:w="7473" w:type="dxa"/>
          </w:tcPr>
          <w:p w:rsidR="00DA6C05" w:rsidRPr="006A7969" w:rsidRDefault="00DA6C05" w:rsidP="00371456">
            <w:pPr>
              <w:pStyle w:val="Listenabsatz"/>
              <w:numPr>
                <w:ilvl w:val="0"/>
                <w:numId w:val="21"/>
              </w:numPr>
              <w:spacing w:before="120"/>
              <w:rPr>
                <w:rFonts w:ascii="BrownPro Light" w:hAnsi="BrownPro Light" w:cs="Arial"/>
                <w:color w:val="000000" w:themeColor="text1"/>
                <w:sz w:val="22"/>
                <w:szCs w:val="22"/>
              </w:rPr>
            </w:pPr>
          </w:p>
        </w:tc>
      </w:tr>
    </w:tbl>
    <w:p w:rsidR="00DA6C05" w:rsidRDefault="00DA6C05" w:rsidP="003A7E8B">
      <w:pPr>
        <w:rPr>
          <w:rFonts w:ascii="BrownPro Light" w:hAnsi="BrownPro Light" w:cs="Arial"/>
          <w:color w:val="000000" w:themeColor="text1"/>
          <w:sz w:val="22"/>
          <w:szCs w:val="22"/>
        </w:rPr>
      </w:pPr>
    </w:p>
    <w:p w:rsidR="003A3B80" w:rsidRPr="006A7969" w:rsidRDefault="003A3B80" w:rsidP="003A7E8B">
      <w:pPr>
        <w:rPr>
          <w:rFonts w:ascii="BrownPro Light" w:hAnsi="BrownPro Light" w:cs="Arial"/>
          <w:color w:val="000000" w:themeColor="text1"/>
          <w:sz w:val="22"/>
          <w:szCs w:val="22"/>
        </w:rPr>
      </w:pPr>
    </w:p>
    <w:p w:rsidR="003A7E8B" w:rsidRPr="006A7969" w:rsidRDefault="00DA6C05" w:rsidP="00DA6C05">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zur Einhaltung der sozialen Distanz</w:t>
      </w:r>
      <w:r w:rsidR="00BA6413" w:rsidRPr="006A7969">
        <w:rPr>
          <w:rFonts w:ascii="BrownPro Light" w:hAnsi="BrownPro Light" w:cs="Arial"/>
          <w:color w:val="000000" w:themeColor="text1"/>
          <w:sz w:val="22"/>
          <w:szCs w:val="22"/>
        </w:rPr>
        <w:t>:</w:t>
      </w:r>
    </w:p>
    <w:p w:rsidR="00DA6C05" w:rsidRPr="006A7969" w:rsidRDefault="00DA6C05" w:rsidP="00DA6C05">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rsidTr="00BA6413">
        <w:trPr>
          <w:trHeight w:val="490"/>
        </w:trPr>
        <w:tc>
          <w:tcPr>
            <w:tcW w:w="14884" w:type="dxa"/>
          </w:tcPr>
          <w:p w:rsidR="00BA6413" w:rsidRPr="006A7969" w:rsidRDefault="00BA6413" w:rsidP="003A7E8B">
            <w:pPr>
              <w:rPr>
                <w:rFonts w:ascii="BrownPro Light" w:hAnsi="BrownPro Light" w:cs="Arial"/>
                <w:color w:val="000000" w:themeColor="text1"/>
                <w:sz w:val="22"/>
                <w:szCs w:val="22"/>
              </w:rPr>
            </w:pPr>
          </w:p>
          <w:p w:rsidR="00BA6413" w:rsidRPr="006A7969" w:rsidRDefault="00BA6413" w:rsidP="003A7E8B">
            <w:pPr>
              <w:rPr>
                <w:rFonts w:ascii="BrownPro Light" w:hAnsi="BrownPro Light" w:cs="Arial"/>
                <w:color w:val="000000" w:themeColor="text1"/>
                <w:sz w:val="22"/>
                <w:szCs w:val="22"/>
              </w:rPr>
            </w:pPr>
          </w:p>
          <w:p w:rsidR="00BA6413" w:rsidRPr="006A7969" w:rsidRDefault="00BA6413" w:rsidP="003A7E8B">
            <w:pPr>
              <w:rPr>
                <w:rFonts w:ascii="BrownPro Light" w:hAnsi="BrownPro Light" w:cs="Arial"/>
                <w:color w:val="000000" w:themeColor="text1"/>
                <w:sz w:val="22"/>
                <w:szCs w:val="22"/>
              </w:rPr>
            </w:pPr>
          </w:p>
          <w:p w:rsidR="00BA6413" w:rsidRPr="006A7969" w:rsidRDefault="00BA6413" w:rsidP="003A7E8B">
            <w:pPr>
              <w:rPr>
                <w:rFonts w:ascii="BrownPro Light" w:hAnsi="BrownPro Light" w:cs="Arial"/>
                <w:color w:val="000000" w:themeColor="text1"/>
                <w:sz w:val="22"/>
                <w:szCs w:val="22"/>
              </w:rPr>
            </w:pPr>
          </w:p>
        </w:tc>
      </w:tr>
    </w:tbl>
    <w:p w:rsidR="00DA6C05" w:rsidRPr="006A7969" w:rsidRDefault="00DA6C05" w:rsidP="00BA6413">
      <w:pPr>
        <w:rPr>
          <w:rFonts w:ascii="BrownPro Light" w:hAnsi="BrownPro Light" w:cs="Arial"/>
          <w:color w:val="000000" w:themeColor="text1"/>
          <w:sz w:val="22"/>
          <w:szCs w:val="22"/>
        </w:rPr>
      </w:pPr>
    </w:p>
    <w:p w:rsidR="003A3B80" w:rsidRDefault="003A3B80" w:rsidP="003A3B80">
      <w:pPr>
        <w:pStyle w:val="Listenabsatz"/>
        <w:ind w:left="360"/>
        <w:rPr>
          <w:rFonts w:ascii="BrownPro Light" w:hAnsi="BrownPro Light" w:cs="Arial"/>
          <w:color w:val="000000" w:themeColor="text1"/>
          <w:sz w:val="26"/>
          <w:szCs w:val="26"/>
        </w:rPr>
      </w:pPr>
    </w:p>
    <w:p w:rsidR="00E102B7" w:rsidRDefault="00E102B7" w:rsidP="003A3B80">
      <w:pPr>
        <w:pStyle w:val="Listenabsatz"/>
        <w:ind w:left="360"/>
        <w:rPr>
          <w:rFonts w:ascii="BrownPro Light" w:hAnsi="BrownPro Light" w:cs="Arial"/>
          <w:color w:val="000000" w:themeColor="text1"/>
          <w:sz w:val="26"/>
          <w:szCs w:val="26"/>
        </w:rPr>
      </w:pPr>
    </w:p>
    <w:p w:rsidR="003A7E8B" w:rsidRPr="006A7969" w:rsidRDefault="003A7E8B" w:rsidP="003A7E8B">
      <w:pPr>
        <w:pStyle w:val="Listenabsatz"/>
        <w:numPr>
          <w:ilvl w:val="0"/>
          <w:numId w:val="23"/>
        </w:numPr>
        <w:rPr>
          <w:rFonts w:ascii="BrownPro Light" w:hAnsi="BrownPro Light" w:cs="Arial"/>
          <w:color w:val="000000" w:themeColor="text1"/>
          <w:sz w:val="26"/>
          <w:szCs w:val="26"/>
        </w:rPr>
      </w:pPr>
      <w:r w:rsidRPr="006A7969">
        <w:rPr>
          <w:rFonts w:ascii="BrownPro Light" w:hAnsi="BrownPro Light" w:cs="Arial"/>
          <w:color w:val="000000" w:themeColor="text1"/>
          <w:sz w:val="26"/>
          <w:szCs w:val="26"/>
        </w:rPr>
        <w:t xml:space="preserve">Massnahmen zur Einhaltung der Vorgaben des BAG zur </w:t>
      </w:r>
      <w:r w:rsidRPr="003A3B80">
        <w:rPr>
          <w:rFonts w:ascii="BrownPro Light" w:hAnsi="BrownPro Light" w:cs="Arial"/>
          <w:b/>
          <w:bCs/>
          <w:color w:val="000000" w:themeColor="text1"/>
          <w:sz w:val="26"/>
          <w:szCs w:val="26"/>
        </w:rPr>
        <w:t>Hygiene</w:t>
      </w:r>
      <w:r w:rsidRPr="006A7969">
        <w:rPr>
          <w:rFonts w:ascii="BrownPro Light" w:hAnsi="BrownPro Light" w:cs="Arial"/>
          <w:color w:val="000000" w:themeColor="text1"/>
          <w:sz w:val="26"/>
          <w:szCs w:val="26"/>
        </w:rPr>
        <w:t xml:space="preserve">. </w:t>
      </w:r>
    </w:p>
    <w:p w:rsidR="00D07C4C" w:rsidRPr="006A7969" w:rsidRDefault="00D07C4C" w:rsidP="00D07C4C">
      <w:pPr>
        <w:rPr>
          <w:rFonts w:ascii="BrownPro Light" w:hAnsi="BrownPro Light" w:cs="Arial"/>
          <w:color w:val="000000" w:themeColor="text1"/>
          <w:sz w:val="22"/>
          <w:szCs w:val="22"/>
        </w:rPr>
      </w:pPr>
    </w:p>
    <w:tbl>
      <w:tblPr>
        <w:tblStyle w:val="Tabellenraster"/>
        <w:tblW w:w="0" w:type="auto"/>
        <w:tblInd w:w="-5" w:type="dxa"/>
        <w:tblLook w:val="04A0" w:firstRow="1" w:lastRow="0" w:firstColumn="1" w:lastColumn="0" w:noHBand="0" w:noVBand="1"/>
      </w:tblPr>
      <w:tblGrid>
        <w:gridCol w:w="7230"/>
        <w:gridCol w:w="7614"/>
      </w:tblGrid>
      <w:tr w:rsidR="00BA6413" w:rsidRPr="00E102B7" w:rsidTr="00BA6413">
        <w:tc>
          <w:tcPr>
            <w:tcW w:w="7230"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614"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Beim Eingang, in Aufenthalts- und Pausenräumen sowie in den Kursräumen werden Desinfektionsmittel oder Möglichkeiten zum Händewaschen zur Verfügung gestellt.</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In allen Räumlichkeiten wird regelmässig und ausgiebig gelüftet. Bei Räumen ohne Möglichkeit, die Fenster zu öffnen, wird die Lüftung entsprechend </w:t>
            </w:r>
            <w:r w:rsidR="00B51AA8" w:rsidRPr="006A7969">
              <w:rPr>
                <w:rFonts w:ascii="BrownPro Light" w:hAnsi="BrownPro Light" w:cs="Arial"/>
                <w:color w:val="000000" w:themeColor="text1"/>
                <w:sz w:val="22"/>
                <w:szCs w:val="22"/>
              </w:rPr>
              <w:t>angepasst</w:t>
            </w:r>
            <w:r w:rsidRPr="006A7969">
              <w:rPr>
                <w:rFonts w:ascii="BrownPro Light" w:hAnsi="BrownPro Light" w:cs="Arial"/>
                <w:color w:val="000000" w:themeColor="text1"/>
                <w:sz w:val="22"/>
                <w:szCs w:val="22"/>
              </w:rPr>
              <w:t>.</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Tische, Stühle, wiederverwendbare Kursutensilien (bspw. Flipchart-Stifte), Türgriffe, Liftknöpfe, Treppengeländer, Kaffeemaschinen und andere Objekte, die oft von mehreren Personen angefasst werden, werden regelmässig gereinigt und nach Möglichkeit desinfiziert.</w:t>
            </w:r>
          </w:p>
        </w:tc>
        <w:tc>
          <w:tcPr>
            <w:tcW w:w="7614" w:type="dxa"/>
          </w:tcPr>
          <w:p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Es werden Einweghandtücher, Einwegbecher etc. verwendet.</w:t>
            </w:r>
          </w:p>
        </w:tc>
        <w:tc>
          <w:tcPr>
            <w:tcW w:w="7614" w:type="dxa"/>
          </w:tcPr>
          <w:p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Zeitschriften etc. werden aus Gemeinschaftsbereichen entfernt.</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Schutzmasken für Teilnehmende sind für spezielle Situationen bereit zu halten. Es besteht jedoch keine generelle Abgabepflicht der Institution.</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sz w:val="22"/>
                <w:szCs w:val="22"/>
              </w:rPr>
              <w:t xml:space="preserve">Umkleideräumlichkeiten und Garderoben dürfen unter Einhaltung der Hygiene- und Distanzregeln benutzt werden. </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sz w:val="22"/>
                <w:szCs w:val="22"/>
              </w:rPr>
            </w:pPr>
          </w:p>
        </w:tc>
      </w:tr>
      <w:tr w:rsidR="00BA6413" w:rsidRPr="006A7969" w:rsidTr="00BA6413">
        <w:tc>
          <w:tcPr>
            <w:tcW w:w="7230" w:type="dxa"/>
          </w:tcPr>
          <w:p w:rsidR="00BA6413" w:rsidRPr="003A3B80" w:rsidRDefault="00BA6413" w:rsidP="003A3B80">
            <w:pPr>
              <w:pStyle w:val="Listenabsatz"/>
              <w:numPr>
                <w:ilvl w:val="0"/>
                <w:numId w:val="22"/>
              </w:numPr>
              <w:spacing w:before="120" w:after="120"/>
              <w:rPr>
                <w:rFonts w:ascii="BrownPro Light" w:hAnsi="BrownPro Light" w:cs="Arial"/>
                <w:color w:val="000000" w:themeColor="text1"/>
                <w:sz w:val="22"/>
                <w:szCs w:val="22"/>
              </w:rPr>
            </w:pPr>
            <w:r w:rsidRPr="003A3B80">
              <w:rPr>
                <w:rFonts w:ascii="BrownPro Light" w:hAnsi="BrownPro Light" w:cs="Arial"/>
                <w:color w:val="000000" w:themeColor="text1"/>
                <w:sz w:val="22"/>
                <w:szCs w:val="22"/>
              </w:rPr>
              <w:t xml:space="preserve">Die Anbieter stellen sicher, dass die Massnahmen zur Einhaltung der Distanz- und Hygieneregeln auch eingehalten werden, wenn die Präsenzveranstaltung nicht in den eigenen Lokalitäten stattfinden (bspw. in Seminarhotels, in Unternehmen etc.) Die Massnahmen werden gemeinsam mit den </w:t>
            </w:r>
            <w:proofErr w:type="spellStart"/>
            <w:r w:rsidRPr="003A3B80">
              <w:rPr>
                <w:rFonts w:ascii="BrownPro Light" w:hAnsi="BrownPro Light" w:cs="Arial"/>
                <w:color w:val="000000" w:themeColor="text1"/>
                <w:sz w:val="22"/>
                <w:szCs w:val="22"/>
              </w:rPr>
              <w:t>Auftraggebenden</w:t>
            </w:r>
            <w:proofErr w:type="spellEnd"/>
            <w:r w:rsidRPr="003A3B80">
              <w:rPr>
                <w:rFonts w:ascii="BrownPro Light" w:hAnsi="BrownPro Light" w:cs="Arial"/>
                <w:color w:val="000000" w:themeColor="text1"/>
                <w:sz w:val="22"/>
                <w:szCs w:val="22"/>
              </w:rPr>
              <w:t xml:space="preserve"> und Vermietenden umgesetzt.</w:t>
            </w:r>
          </w:p>
        </w:tc>
        <w:tc>
          <w:tcPr>
            <w:tcW w:w="7614" w:type="dxa"/>
          </w:tcPr>
          <w:p w:rsidR="00BA6413" w:rsidRPr="006A7969" w:rsidRDefault="00BA6413" w:rsidP="00BA6413">
            <w:pPr>
              <w:pStyle w:val="Listenabsatz"/>
              <w:numPr>
                <w:ilvl w:val="0"/>
                <w:numId w:val="29"/>
              </w:numPr>
              <w:spacing w:before="120" w:after="120"/>
              <w:rPr>
                <w:rFonts w:ascii="BrownPro Light" w:hAnsi="BrownPro Light" w:cs="Arial"/>
                <w:color w:val="000000" w:themeColor="text1"/>
                <w:sz w:val="22"/>
                <w:szCs w:val="22"/>
              </w:rPr>
            </w:pPr>
          </w:p>
        </w:tc>
      </w:tr>
    </w:tbl>
    <w:p w:rsidR="00DA6C05" w:rsidRPr="006A7969" w:rsidRDefault="00DA6C05" w:rsidP="003A7E8B">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zur Einhaltung der Hygieneregeln:</w:t>
      </w:r>
    </w:p>
    <w:p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rsidTr="00F670D7">
        <w:trPr>
          <w:trHeight w:val="490"/>
        </w:trPr>
        <w:tc>
          <w:tcPr>
            <w:tcW w:w="14884" w:type="dxa"/>
          </w:tcPr>
          <w:p w:rsidR="00BA6413" w:rsidRPr="006A7969" w:rsidRDefault="00BA6413" w:rsidP="00F670D7">
            <w:pPr>
              <w:rPr>
                <w:rFonts w:ascii="BrownPro Light" w:hAnsi="BrownPro Light" w:cs="Arial"/>
                <w:color w:val="000000" w:themeColor="text1"/>
                <w:sz w:val="22"/>
                <w:szCs w:val="22"/>
              </w:rPr>
            </w:pPr>
          </w:p>
          <w:p w:rsidR="00B51AA8" w:rsidRPr="006A7969" w:rsidRDefault="00B51AA8"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tc>
      </w:tr>
    </w:tbl>
    <w:p w:rsidR="00DA6C05" w:rsidRPr="006A7969" w:rsidRDefault="00DA6C05" w:rsidP="003A7E8B">
      <w:pPr>
        <w:rPr>
          <w:rFonts w:ascii="BrownPro Light" w:hAnsi="BrownPro Light" w:cs="Arial"/>
          <w:color w:val="000000" w:themeColor="text1"/>
          <w:sz w:val="22"/>
          <w:szCs w:val="22"/>
        </w:rPr>
      </w:pPr>
    </w:p>
    <w:p w:rsidR="00DA6C05" w:rsidRPr="006A7969" w:rsidRDefault="00DA6C05" w:rsidP="003A7E8B">
      <w:pPr>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p w:rsidR="003A7E8B" w:rsidRPr="00E102B7" w:rsidRDefault="003A7E8B" w:rsidP="003A7E8B">
      <w:pPr>
        <w:pStyle w:val="Listenabsatz"/>
        <w:numPr>
          <w:ilvl w:val="0"/>
          <w:numId w:val="23"/>
        </w:numPr>
        <w:rPr>
          <w:rFonts w:ascii="BrownPro Light" w:hAnsi="BrownPro Light" w:cs="Arial"/>
          <w:b/>
          <w:bCs/>
          <w:color w:val="000000" w:themeColor="text1"/>
        </w:rPr>
      </w:pPr>
      <w:r w:rsidRPr="006A7969">
        <w:rPr>
          <w:rFonts w:ascii="BrownPro Light" w:hAnsi="BrownPro Light" w:cs="Arial"/>
          <w:color w:val="000000" w:themeColor="text1"/>
        </w:rPr>
        <w:t xml:space="preserve">Massnahmen zum </w:t>
      </w:r>
      <w:r w:rsidRPr="00E102B7">
        <w:rPr>
          <w:rFonts w:ascii="BrownPro Light" w:hAnsi="BrownPro Light" w:cs="Arial"/>
          <w:b/>
          <w:bCs/>
          <w:color w:val="000000" w:themeColor="text1"/>
        </w:rPr>
        <w:t>Schutz von besonders gefährdeten Personen und zum Ausschluss von Personen, die krank sind oder sich krank fühlen.</w:t>
      </w:r>
    </w:p>
    <w:p w:rsidR="003A7E8B" w:rsidRPr="006A7969" w:rsidRDefault="003A7E8B" w:rsidP="003A7E8B">
      <w:pPr>
        <w:rPr>
          <w:rFonts w:ascii="BrownPro Light" w:hAnsi="BrownPro Light" w:cs="Arial"/>
          <w:color w:val="000000" w:themeColor="text1"/>
        </w:rPr>
      </w:pPr>
    </w:p>
    <w:tbl>
      <w:tblPr>
        <w:tblStyle w:val="Tabellenraster"/>
        <w:tblW w:w="0" w:type="auto"/>
        <w:tblInd w:w="-5" w:type="dxa"/>
        <w:tblLook w:val="04A0" w:firstRow="1" w:lastRow="0" w:firstColumn="1" w:lastColumn="0" w:noHBand="0" w:noVBand="1"/>
      </w:tblPr>
      <w:tblGrid>
        <w:gridCol w:w="7230"/>
        <w:gridCol w:w="7614"/>
      </w:tblGrid>
      <w:tr w:rsidR="00BA6413" w:rsidRPr="00E102B7" w:rsidTr="00BA6413">
        <w:trPr>
          <w:trHeight w:val="415"/>
        </w:trPr>
        <w:tc>
          <w:tcPr>
            <w:tcW w:w="7230"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614"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rsidTr="00BA6413">
        <w:trPr>
          <w:trHeight w:val="2814"/>
        </w:trPr>
        <w:tc>
          <w:tcPr>
            <w:tcW w:w="7230" w:type="dxa"/>
          </w:tcPr>
          <w:p w:rsidR="00BA6413" w:rsidRPr="006A7969" w:rsidRDefault="00BA6413" w:rsidP="00BA6413">
            <w:pPr>
              <w:pStyle w:val="Listenabsatz"/>
              <w:numPr>
                <w:ilvl w:val="0"/>
                <w:numId w:val="21"/>
              </w:numPr>
              <w:spacing w:before="120" w:after="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Die Kund/innen werden darauf hingewiesen, dass</w:t>
            </w:r>
          </w:p>
          <w:p w:rsidR="00BA6413" w:rsidRPr="006A7969" w:rsidRDefault="00BA6413" w:rsidP="00BA6413">
            <w:pPr>
              <w:pStyle w:val="Listenabsatz"/>
              <w:numPr>
                <w:ilvl w:val="1"/>
                <w:numId w:val="25"/>
              </w:numPr>
              <w:spacing w:before="120" w:after="120"/>
              <w:ind w:left="143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Personen, die einzelne COVID-19-Symptome (vgl. Angang 1) zeigen oder im Kontakt mit infizierten Personen waren, von Präsenzveranstaltungen ausgeschlossen sind. </w:t>
            </w:r>
          </w:p>
          <w:p w:rsidR="00BA6413" w:rsidRPr="006A7969" w:rsidRDefault="00BA6413" w:rsidP="00BA6413">
            <w:pPr>
              <w:pStyle w:val="Listenabsatz"/>
              <w:numPr>
                <w:ilvl w:val="1"/>
                <w:numId w:val="25"/>
              </w:numPr>
              <w:spacing w:before="120" w:after="120"/>
              <w:ind w:left="143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Teilnehmende, die nachweislich vom Corona-Virus betroffen waren, erst zwei Wochen nach überstandener Krankheit an einer Weiterbildung teilnehmen dürfen.</w:t>
            </w:r>
          </w:p>
          <w:p w:rsidR="00BA6413" w:rsidRPr="006A7969" w:rsidRDefault="00BA6413" w:rsidP="00BA6413">
            <w:pPr>
              <w:pStyle w:val="Listenabsatz"/>
              <w:numPr>
                <w:ilvl w:val="1"/>
                <w:numId w:val="25"/>
              </w:numPr>
              <w:spacing w:before="120" w:after="120"/>
              <w:ind w:left="1434" w:hanging="357"/>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Personen, die eine relevante Erkrankung gemäss COVID-Verordnung aufweisen (vgl. Anhang 2), wird empfohlen, bis auf Weiteres auf die Teilnahme an Präsenzveranstaltungen zu verzichten.</w:t>
            </w:r>
            <w:r w:rsidRPr="006A7969">
              <w:rPr>
                <w:rFonts w:ascii="BrownPro Light" w:hAnsi="BrownPro Light" w:cs="Arial"/>
                <w:color w:val="000000" w:themeColor="text1"/>
                <w:sz w:val="22"/>
                <w:szCs w:val="22"/>
              </w:rPr>
              <w:br/>
            </w:r>
          </w:p>
        </w:tc>
        <w:tc>
          <w:tcPr>
            <w:tcW w:w="7614"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KeinLeerraum"/>
              <w:numPr>
                <w:ilvl w:val="0"/>
                <w:numId w:val="21"/>
              </w:numPr>
              <w:spacing w:before="120" w:after="120"/>
              <w:rPr>
                <w:rFonts w:ascii="BrownPro Light" w:hAnsi="BrownPro Light"/>
                <w:color w:val="000000" w:themeColor="text1"/>
                <w:lang w:bidi="ar-SA"/>
              </w:rPr>
            </w:pPr>
            <w:r w:rsidRPr="006A7969">
              <w:rPr>
                <w:rFonts w:ascii="BrownPro Light" w:hAnsi="BrownPro Light"/>
                <w:color w:val="000000" w:themeColor="text1"/>
                <w:lang w:bidi="ar-SA"/>
              </w:rPr>
              <w:t xml:space="preserve">Falls gehäufte Krankheitsfälle in einer Weiterbildungsinstitution vorkommen, sollte Selbstquarantäne umgesetzt werden. Für diese Situation ist auf Grundlage der Vorgaben der Kantonsärzte ein Konzept zu entwickeln, wie definierte Gruppen innerhalb der Institution voneinander getrennt werden können, um das weitere Auftreten von Fällen zu verhindern. </w:t>
            </w:r>
          </w:p>
        </w:tc>
        <w:tc>
          <w:tcPr>
            <w:tcW w:w="7614" w:type="dxa"/>
          </w:tcPr>
          <w:p w:rsidR="00BA6413" w:rsidRPr="006A7969" w:rsidRDefault="00BA6413" w:rsidP="00BA6413">
            <w:pPr>
              <w:pStyle w:val="KeinLeerraum"/>
              <w:numPr>
                <w:ilvl w:val="0"/>
                <w:numId w:val="21"/>
              </w:numPr>
              <w:spacing w:before="120" w:after="120"/>
              <w:rPr>
                <w:rFonts w:ascii="BrownPro Light" w:hAnsi="BrownPro Light"/>
                <w:color w:val="000000" w:themeColor="text1"/>
                <w:lang w:bidi="ar-SA"/>
              </w:rPr>
            </w:pPr>
          </w:p>
        </w:tc>
      </w:tr>
      <w:tr w:rsidR="00BA6413" w:rsidRPr="006A7969" w:rsidTr="00BA6413">
        <w:tc>
          <w:tcPr>
            <w:tcW w:w="7230" w:type="dxa"/>
          </w:tcPr>
          <w:p w:rsidR="00BA6413" w:rsidRPr="006A7969" w:rsidRDefault="00BA6413" w:rsidP="00BA6413">
            <w:pPr>
              <w:pStyle w:val="KeinLeerraum"/>
              <w:numPr>
                <w:ilvl w:val="0"/>
                <w:numId w:val="21"/>
              </w:numPr>
              <w:spacing w:before="120" w:after="120"/>
              <w:ind w:left="357" w:hanging="357"/>
              <w:rPr>
                <w:rFonts w:ascii="BrownPro Light" w:hAnsi="BrownPro Light"/>
                <w:color w:val="000000" w:themeColor="text1"/>
              </w:rPr>
            </w:pPr>
            <w:r w:rsidRPr="006A7969">
              <w:rPr>
                <w:rFonts w:ascii="BrownPro Light" w:hAnsi="BrownPro Light"/>
                <w:color w:val="000000" w:themeColor="text1"/>
              </w:rPr>
              <w:t>Alle Angestellten, die zu Risikogruppen gehören, können sich von Aufgaben im Kontakt mit Teilnehmenden dispensieren lassen, wenn sie ein ärztliches Attest vorweisen (Grundlage: Covid-19 Verordnung 2).</w:t>
            </w:r>
          </w:p>
        </w:tc>
        <w:tc>
          <w:tcPr>
            <w:tcW w:w="7614" w:type="dxa"/>
          </w:tcPr>
          <w:p w:rsidR="00BA6413" w:rsidRPr="006A7969" w:rsidRDefault="00BA6413" w:rsidP="00BA6413">
            <w:pPr>
              <w:pStyle w:val="KeinLeerraum"/>
              <w:numPr>
                <w:ilvl w:val="0"/>
                <w:numId w:val="21"/>
              </w:numPr>
              <w:spacing w:before="120" w:after="120"/>
              <w:rPr>
                <w:rFonts w:ascii="BrownPro Light" w:hAnsi="BrownPro Light"/>
                <w:color w:val="000000" w:themeColor="text1"/>
              </w:rPr>
            </w:pPr>
          </w:p>
        </w:tc>
      </w:tr>
      <w:tr w:rsidR="00BA6413" w:rsidRPr="006A7969" w:rsidTr="00BA6413">
        <w:tc>
          <w:tcPr>
            <w:tcW w:w="7230" w:type="dxa"/>
          </w:tcPr>
          <w:p w:rsidR="00BA6413" w:rsidRPr="006A7969" w:rsidRDefault="00BA6413" w:rsidP="00BA6413">
            <w:pPr>
              <w:pStyle w:val="Listenabsatz"/>
              <w:numPr>
                <w:ilvl w:val="0"/>
                <w:numId w:val="21"/>
              </w:numPr>
              <w:spacing w:before="120" w:after="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Ausbildende, die nachweislich vom Corona-Virus betroffen waren, dürfen erst 10 Tage nach überstandener Krankheit Aufgaben im physischen Kontakt mit Teilnehmenden und Mitarbeitenden wieder aufnehmen.</w:t>
            </w:r>
          </w:p>
          <w:p w:rsidR="00BA6413" w:rsidRPr="006A7969" w:rsidRDefault="00BA6413" w:rsidP="00BA6413">
            <w:pPr>
              <w:pStyle w:val="Listenabsatz"/>
              <w:spacing w:before="120" w:after="120"/>
              <w:ind w:left="360"/>
              <w:rPr>
                <w:rFonts w:ascii="BrownPro Light" w:hAnsi="BrownPro Light" w:cs="Arial"/>
                <w:color w:val="000000" w:themeColor="text1"/>
                <w:sz w:val="22"/>
                <w:szCs w:val="22"/>
              </w:rPr>
            </w:pPr>
          </w:p>
        </w:tc>
        <w:tc>
          <w:tcPr>
            <w:tcW w:w="7614" w:type="dxa"/>
          </w:tcPr>
          <w:p w:rsidR="00BA6413" w:rsidRPr="006A7969" w:rsidRDefault="00BA6413" w:rsidP="00BA6413">
            <w:pPr>
              <w:pStyle w:val="Listenabsatz"/>
              <w:numPr>
                <w:ilvl w:val="0"/>
                <w:numId w:val="21"/>
              </w:numPr>
              <w:spacing w:before="120" w:after="120"/>
              <w:rPr>
                <w:rFonts w:ascii="BrownPro Light" w:hAnsi="BrownPro Light" w:cs="Arial"/>
                <w:color w:val="000000" w:themeColor="text1"/>
                <w:sz w:val="22"/>
                <w:szCs w:val="22"/>
              </w:rPr>
            </w:pPr>
          </w:p>
        </w:tc>
      </w:tr>
    </w:tbl>
    <w:p w:rsidR="003A7E8B" w:rsidRPr="006A7969" w:rsidRDefault="003A7E8B" w:rsidP="003A7E8B">
      <w:pPr>
        <w:pStyle w:val="Listenabsatz"/>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zum Schutz von besonders gefährdeten Personen und zum Ausschluss von Personen, die krank sind oder sich krank fühlen.</w:t>
      </w: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rsidTr="00F670D7">
        <w:trPr>
          <w:trHeight w:val="490"/>
        </w:trPr>
        <w:tc>
          <w:tcPr>
            <w:tcW w:w="14884" w:type="dxa"/>
          </w:tcPr>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tc>
      </w:tr>
    </w:tbl>
    <w:p w:rsidR="00BA6413" w:rsidRPr="006A7969" w:rsidRDefault="00BA6413" w:rsidP="003A7E8B">
      <w:pPr>
        <w:rPr>
          <w:rFonts w:ascii="BrownPro Light" w:hAnsi="BrownPro Light" w:cs="Arial"/>
          <w:color w:val="000000" w:themeColor="text1"/>
          <w:sz w:val="22"/>
          <w:szCs w:val="22"/>
        </w:rPr>
      </w:pPr>
    </w:p>
    <w:p w:rsidR="00E102B7" w:rsidRPr="006A7969" w:rsidRDefault="00E102B7" w:rsidP="003A7E8B">
      <w:pPr>
        <w:rPr>
          <w:rFonts w:ascii="BrownPro Light" w:hAnsi="BrownPro Light" w:cs="Arial"/>
          <w:color w:val="000000" w:themeColor="text1"/>
          <w:sz w:val="22"/>
          <w:szCs w:val="22"/>
        </w:rPr>
      </w:pPr>
    </w:p>
    <w:p w:rsidR="00BA6413" w:rsidRPr="006A7969" w:rsidRDefault="00BA6413" w:rsidP="003A7E8B">
      <w:pPr>
        <w:rPr>
          <w:rFonts w:ascii="BrownPro Light" w:hAnsi="BrownPro Light" w:cs="Arial"/>
          <w:color w:val="000000" w:themeColor="text1"/>
          <w:sz w:val="22"/>
          <w:szCs w:val="22"/>
        </w:rPr>
      </w:pPr>
    </w:p>
    <w:p w:rsidR="003A7E8B" w:rsidRPr="006A7969" w:rsidRDefault="003A7E8B" w:rsidP="003A7E8B">
      <w:pPr>
        <w:pStyle w:val="Listenabsatz"/>
        <w:numPr>
          <w:ilvl w:val="0"/>
          <w:numId w:val="23"/>
        </w:numPr>
        <w:rPr>
          <w:rFonts w:ascii="BrownPro Light" w:hAnsi="BrownPro Light" w:cs="Arial"/>
          <w:color w:val="000000" w:themeColor="text1"/>
        </w:rPr>
      </w:pPr>
      <w:r w:rsidRPr="006A7969">
        <w:rPr>
          <w:rFonts w:ascii="BrownPro Light" w:hAnsi="BrownPro Light" w:cs="Arial"/>
          <w:color w:val="000000" w:themeColor="text1"/>
        </w:rPr>
        <w:t xml:space="preserve">Massnahmen zu </w:t>
      </w:r>
      <w:r w:rsidRPr="00E102B7">
        <w:rPr>
          <w:rFonts w:ascii="BrownPro Light" w:hAnsi="BrownPro Light" w:cs="Arial"/>
          <w:b/>
          <w:bCs/>
          <w:color w:val="000000" w:themeColor="text1"/>
        </w:rPr>
        <w:t>Information und Management</w:t>
      </w: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tbl>
      <w:tblPr>
        <w:tblStyle w:val="Tabellenraster"/>
        <w:tblW w:w="0" w:type="auto"/>
        <w:tblInd w:w="-5" w:type="dxa"/>
        <w:tblLook w:val="04A0" w:firstRow="1" w:lastRow="0" w:firstColumn="1" w:lastColumn="0" w:noHBand="0" w:noVBand="1"/>
      </w:tblPr>
      <w:tblGrid>
        <w:gridCol w:w="7371"/>
        <w:gridCol w:w="7473"/>
      </w:tblGrid>
      <w:tr w:rsidR="00BA6413" w:rsidRPr="00E102B7" w:rsidTr="00BA6413">
        <w:tc>
          <w:tcPr>
            <w:tcW w:w="7371"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473"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Beim Eingang, in Aufenthalts- und Pausenräumen werden die Informationsmaterialien des Bundes betreffend Distanz- und Hygieneregeln gut sichtbar angebracht. </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Ausbildende weisen beim Kursstart auf die geltenden Distanz- und Hygieneregeln sowie auf die angepasste Methodenwahl hin.</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Die Mitarbeitenden werden regelmässig über die Massnahmen im Zusammenhang mit dem Schutzkonzept informiert.</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Besonders gefährdete Mitarbeitende werden über ihre Rechte und Schutzmassnahmen im Unternehmen informiert.</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Dass Management stellt sicher, dass die Umsetzung der im Schutzkonzept festgelegten Massnahmen regelmässig kontrolliert wird.</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bl>
    <w:p w:rsidR="003A7E8B" w:rsidRPr="006A7969" w:rsidRDefault="003A7E8B" w:rsidP="003A7E8B">
      <w:pPr>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Information und Management</w:t>
      </w:r>
    </w:p>
    <w:p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rsidTr="00F670D7">
        <w:trPr>
          <w:trHeight w:val="490"/>
        </w:trPr>
        <w:tc>
          <w:tcPr>
            <w:tcW w:w="14884" w:type="dxa"/>
          </w:tcPr>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tc>
      </w:tr>
    </w:tbl>
    <w:p w:rsidR="00BA6413" w:rsidRPr="006A7969" w:rsidRDefault="00BA6413" w:rsidP="00BA6413">
      <w:pPr>
        <w:pStyle w:val="Listenabsatz"/>
        <w:ind w:left="360"/>
        <w:rPr>
          <w:rFonts w:ascii="BrownPro Light" w:hAnsi="BrownPro Light" w:cs="Arial"/>
          <w:color w:val="000000" w:themeColor="text1"/>
          <w:sz w:val="22"/>
          <w:szCs w:val="22"/>
        </w:rPr>
      </w:pPr>
    </w:p>
    <w:p w:rsidR="00AA4FAA" w:rsidRPr="006A7969" w:rsidRDefault="00AA4FAA">
      <w:pPr>
        <w:rPr>
          <w:rFonts w:ascii="BrownPro Light" w:hAnsi="BrownPro Light" w:cs="Arial"/>
          <w:color w:val="000000" w:themeColor="text1"/>
        </w:rPr>
      </w:pPr>
      <w:r w:rsidRPr="006A7969">
        <w:rPr>
          <w:rFonts w:ascii="BrownPro Light" w:hAnsi="BrownPro Light" w:cs="Arial"/>
          <w:color w:val="000000" w:themeColor="text1"/>
        </w:rPr>
        <w:br w:type="page"/>
      </w:r>
    </w:p>
    <w:p w:rsidR="003A7E8B" w:rsidRPr="00E102B7" w:rsidRDefault="003A7E8B" w:rsidP="003A7E8B">
      <w:pPr>
        <w:rPr>
          <w:rFonts w:ascii="BrownPro Light" w:hAnsi="BrownPro Light" w:cs="Arial"/>
          <w:b/>
          <w:bCs/>
          <w:color w:val="000000" w:themeColor="text1"/>
        </w:rPr>
      </w:pPr>
      <w:r w:rsidRPr="00E102B7">
        <w:rPr>
          <w:rFonts w:ascii="BrownPro Light" w:hAnsi="BrownPro Light" w:cs="Arial"/>
          <w:b/>
          <w:bCs/>
          <w:color w:val="000000" w:themeColor="text1"/>
        </w:rPr>
        <w:lastRenderedPageBreak/>
        <w:t>Anhang 1: COVID-Symptome</w:t>
      </w:r>
      <w:r w:rsidR="00B93FC7" w:rsidRPr="00E102B7">
        <w:rPr>
          <w:rFonts w:ascii="BrownPro Light" w:hAnsi="BrownPro Light" w:cs="Arial"/>
          <w:b/>
          <w:bCs/>
          <w:color w:val="000000" w:themeColor="text1"/>
        </w:rPr>
        <w:t xml:space="preserve"> gemäss BAG</w:t>
      </w:r>
      <w:r w:rsidR="000210B6" w:rsidRPr="00E102B7">
        <w:rPr>
          <w:rFonts w:ascii="BrownPro Light" w:hAnsi="BrownPro Light" w:cs="Arial"/>
          <w:b/>
          <w:bCs/>
          <w:color w:val="000000" w:themeColor="text1"/>
        </w:rPr>
        <w:t xml:space="preserve"> (Stand 24.4.20)</w:t>
      </w:r>
    </w:p>
    <w:p w:rsidR="00B93FC7" w:rsidRPr="006A7969" w:rsidRDefault="00B93FC7" w:rsidP="003A7E8B">
      <w:pPr>
        <w:rPr>
          <w:rFonts w:ascii="BrownPro Light" w:hAnsi="BrownPro Light" w:cs="Arial"/>
          <w:color w:val="000000" w:themeColor="text1"/>
          <w:sz w:val="22"/>
          <w:szCs w:val="22"/>
        </w:rPr>
      </w:pPr>
    </w:p>
    <w:p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Diese treten häufig auf:</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Husten (meist trocken)</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Halsschmerzen</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Kurzatmigkeit</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Fieber, Fiebergefühl</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Muskelschmerzen</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Plötzlicher Verlust des Geruchs- und/oder Geschmackssinns</w:t>
      </w:r>
    </w:p>
    <w:p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Selten sind:</w:t>
      </w:r>
    </w:p>
    <w:p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Kopfschmerzen</w:t>
      </w:r>
    </w:p>
    <w:p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Magen-Darm-Symptome</w:t>
      </w:r>
    </w:p>
    <w:p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Bindehautentzündung</w:t>
      </w:r>
    </w:p>
    <w:p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Schnupfen</w:t>
      </w:r>
    </w:p>
    <w:p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Die Krankheitssymptome sind unterschiedlich stark, sie können auch leicht sein. Ebenfalls möglich sind Komplikationen wie eine Lungenentzündung.</w:t>
      </w:r>
    </w:p>
    <w:p w:rsidR="003A7E8B" w:rsidRPr="006A7969" w:rsidRDefault="003A7E8B" w:rsidP="003A7E8B">
      <w:pPr>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p w:rsidR="00B93FC7" w:rsidRPr="00E102B7" w:rsidRDefault="003A7E8B" w:rsidP="003A7E8B">
      <w:pPr>
        <w:rPr>
          <w:rFonts w:ascii="BrownPro Light" w:hAnsi="BrownPro Light" w:cs="Arial"/>
          <w:b/>
          <w:bCs/>
          <w:color w:val="000000" w:themeColor="text1"/>
        </w:rPr>
      </w:pPr>
      <w:r w:rsidRPr="00E102B7">
        <w:rPr>
          <w:rFonts w:ascii="BrownPro Light" w:hAnsi="BrownPro Light" w:cs="Arial"/>
          <w:b/>
          <w:bCs/>
          <w:color w:val="000000" w:themeColor="text1"/>
        </w:rPr>
        <w:t xml:space="preserve">Anhang 2: </w:t>
      </w:r>
      <w:r w:rsidR="00B93FC7" w:rsidRPr="00E102B7">
        <w:rPr>
          <w:rFonts w:ascii="BrownPro Light" w:hAnsi="BrownPro Light" w:cs="Arial"/>
          <w:b/>
          <w:bCs/>
          <w:color w:val="000000" w:themeColor="text1"/>
        </w:rPr>
        <w:t>relevant Erkrankungen</w:t>
      </w:r>
      <w:r w:rsidRPr="00E102B7">
        <w:rPr>
          <w:rFonts w:ascii="BrownPro Light" w:hAnsi="BrownPro Light" w:cs="Arial"/>
          <w:b/>
          <w:bCs/>
          <w:color w:val="000000" w:themeColor="text1"/>
        </w:rPr>
        <w:t xml:space="preserve"> </w:t>
      </w:r>
      <w:r w:rsidR="00B93FC7" w:rsidRPr="00E102B7">
        <w:rPr>
          <w:rFonts w:ascii="BrownPro Light" w:hAnsi="BrownPro Light" w:cs="Arial"/>
          <w:b/>
          <w:bCs/>
          <w:color w:val="000000" w:themeColor="text1"/>
        </w:rPr>
        <w:t>g</w:t>
      </w:r>
      <w:r w:rsidRPr="00E102B7">
        <w:rPr>
          <w:rFonts w:ascii="BrownPro Light" w:hAnsi="BrownPro Light" w:cs="Arial"/>
          <w:b/>
          <w:bCs/>
          <w:color w:val="000000" w:themeColor="text1"/>
        </w:rPr>
        <w:t xml:space="preserve">emäss COVID-2 Verordnung Art. 10 </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Bluthochdruck</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Chronische Atemwegserkrankungen</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Diabetes</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Erkrankungen und Therapien, die das Immunsystem schwächen</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Herz-Kreislauf-Erkrankungen</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Krebs</w:t>
      </w:r>
    </w:p>
    <w:p w:rsidR="003A7E8B" w:rsidRPr="006A7969" w:rsidRDefault="003A7E8B" w:rsidP="003A7E8B">
      <w:pPr>
        <w:rPr>
          <w:rFonts w:ascii="BrownPro Light" w:hAnsi="BrownPro Light" w:cs="Arial"/>
          <w:color w:val="000000" w:themeColor="text1"/>
          <w:sz w:val="22"/>
          <w:szCs w:val="22"/>
        </w:rPr>
      </w:pPr>
    </w:p>
    <w:sectPr w:rsidR="003A7E8B" w:rsidRPr="006A7969" w:rsidSect="00DA6C05">
      <w:footerReference w:type="even" r:id="rId7"/>
      <w:footerReference w:type="default" r:id="rId8"/>
      <w:pgSz w:w="16840" w:h="11900" w:orient="landscape"/>
      <w:pgMar w:top="1417" w:right="1134" w:bottom="1417" w:left="8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2E" w:rsidRDefault="0053252E" w:rsidP="009D2F90">
      <w:r>
        <w:separator/>
      </w:r>
    </w:p>
  </w:endnote>
  <w:endnote w:type="continuationSeparator" w:id="0">
    <w:p w:rsidR="0053252E" w:rsidRDefault="0053252E" w:rsidP="009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ownPro">
    <w:panose1 w:val="00010500010101010101"/>
    <w:charset w:val="4D"/>
    <w:family w:val="auto"/>
    <w:notTrueType/>
    <w:pitch w:val="variable"/>
    <w:sig w:usb0="A00000BF" w:usb1="40002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wnPro Light">
    <w:panose1 w:val="00010400010101010101"/>
    <w:charset w:val="4D"/>
    <w:family w:val="auto"/>
    <w:notTrueType/>
    <w:pitch w:val="variable"/>
    <w:sig w:usb0="A00000BF"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89447728"/>
      <w:docPartObj>
        <w:docPartGallery w:val="Page Numbers (Bottom of Page)"/>
        <w:docPartUnique/>
      </w:docPartObj>
    </w:sdtPr>
    <w:sdtEndPr>
      <w:rPr>
        <w:rStyle w:val="Seitenzahl"/>
      </w:rPr>
    </w:sdtEndPr>
    <w:sdtContent>
      <w:p w:rsidR="009D2F90" w:rsidRDefault="009D2F90" w:rsidP="007562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D2F90" w:rsidRDefault="009D2F90" w:rsidP="009D2F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87962914"/>
      <w:docPartObj>
        <w:docPartGallery w:val="Page Numbers (Bottom of Page)"/>
        <w:docPartUnique/>
      </w:docPartObj>
    </w:sdtPr>
    <w:sdtEndPr>
      <w:rPr>
        <w:rStyle w:val="Seitenzahl"/>
        <w:rFonts w:ascii="Arial" w:hAnsi="Arial" w:cs="Arial"/>
        <w:sz w:val="20"/>
        <w:szCs w:val="20"/>
      </w:rPr>
    </w:sdtEndPr>
    <w:sdtContent>
      <w:p w:rsidR="009D2F90" w:rsidRPr="00C518FA" w:rsidRDefault="009D2F90" w:rsidP="007562B9">
        <w:pPr>
          <w:pStyle w:val="Fuzeile"/>
          <w:framePr w:wrap="none" w:vAnchor="text" w:hAnchor="margin" w:xAlign="right" w:y="1"/>
          <w:rPr>
            <w:rStyle w:val="Seitenzahl"/>
            <w:rFonts w:ascii="Arial" w:hAnsi="Arial" w:cs="Arial"/>
            <w:sz w:val="20"/>
            <w:szCs w:val="20"/>
          </w:rPr>
        </w:pPr>
        <w:r w:rsidRPr="00C518FA">
          <w:rPr>
            <w:rStyle w:val="Seitenzahl"/>
            <w:rFonts w:ascii="Arial" w:hAnsi="Arial" w:cs="Arial"/>
            <w:sz w:val="20"/>
            <w:szCs w:val="20"/>
          </w:rPr>
          <w:fldChar w:fldCharType="begin"/>
        </w:r>
        <w:r w:rsidRPr="00C518FA">
          <w:rPr>
            <w:rStyle w:val="Seitenzahl"/>
            <w:rFonts w:ascii="Arial" w:hAnsi="Arial" w:cs="Arial"/>
            <w:sz w:val="20"/>
            <w:szCs w:val="20"/>
          </w:rPr>
          <w:instrText xml:space="preserve"> PAGE </w:instrText>
        </w:r>
        <w:r w:rsidRPr="00C518FA">
          <w:rPr>
            <w:rStyle w:val="Seitenzahl"/>
            <w:rFonts w:ascii="Arial" w:hAnsi="Arial" w:cs="Arial"/>
            <w:sz w:val="20"/>
            <w:szCs w:val="20"/>
          </w:rPr>
          <w:fldChar w:fldCharType="separate"/>
        </w:r>
        <w:r w:rsidRPr="00C518FA">
          <w:rPr>
            <w:rStyle w:val="Seitenzahl"/>
            <w:rFonts w:ascii="Arial" w:hAnsi="Arial" w:cs="Arial"/>
            <w:noProof/>
            <w:sz w:val="20"/>
            <w:szCs w:val="20"/>
          </w:rPr>
          <w:t>1</w:t>
        </w:r>
        <w:r w:rsidRPr="00C518FA">
          <w:rPr>
            <w:rStyle w:val="Seitenzahl"/>
            <w:rFonts w:ascii="Arial" w:hAnsi="Arial" w:cs="Arial"/>
            <w:sz w:val="20"/>
            <w:szCs w:val="20"/>
          </w:rPr>
          <w:fldChar w:fldCharType="end"/>
        </w:r>
      </w:p>
    </w:sdtContent>
  </w:sdt>
  <w:p w:rsidR="009D2F90" w:rsidRPr="00C518FA" w:rsidRDefault="009D2F90" w:rsidP="009D2F90">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2E" w:rsidRDefault="0053252E" w:rsidP="009D2F90">
      <w:r>
        <w:separator/>
      </w:r>
    </w:p>
  </w:footnote>
  <w:footnote w:type="continuationSeparator" w:id="0">
    <w:p w:rsidR="0053252E" w:rsidRDefault="0053252E" w:rsidP="009D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5DF"/>
    <w:multiLevelType w:val="multilevel"/>
    <w:tmpl w:val="4CA4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BBE"/>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8F7215"/>
    <w:multiLevelType w:val="hybridMultilevel"/>
    <w:tmpl w:val="1A1E2F30"/>
    <w:lvl w:ilvl="0" w:tplc="3B9C3B80">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EE7990"/>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327F03"/>
    <w:multiLevelType w:val="hybridMultilevel"/>
    <w:tmpl w:val="702CE8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933ED7"/>
    <w:multiLevelType w:val="multilevel"/>
    <w:tmpl w:val="EAE6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90F9A"/>
    <w:multiLevelType w:val="multilevel"/>
    <w:tmpl w:val="96D85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E4836"/>
    <w:multiLevelType w:val="hybridMultilevel"/>
    <w:tmpl w:val="B0A8B21A"/>
    <w:lvl w:ilvl="0" w:tplc="FFE0C02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6B6234B"/>
    <w:multiLevelType w:val="hybridMultilevel"/>
    <w:tmpl w:val="89EE08A0"/>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6F0A6C"/>
    <w:multiLevelType w:val="hybridMultilevel"/>
    <w:tmpl w:val="46D49DAA"/>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C55C03"/>
    <w:multiLevelType w:val="hybridMultilevel"/>
    <w:tmpl w:val="B46415CC"/>
    <w:lvl w:ilvl="0" w:tplc="11320D12">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9B60C05"/>
    <w:multiLevelType w:val="hybridMultilevel"/>
    <w:tmpl w:val="F76EF3CC"/>
    <w:lvl w:ilvl="0" w:tplc="620015F6">
      <w:start w:val="2"/>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D379EC"/>
    <w:multiLevelType w:val="multilevel"/>
    <w:tmpl w:val="678A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A6CED"/>
    <w:multiLevelType w:val="hybridMultilevel"/>
    <w:tmpl w:val="0E2C29F8"/>
    <w:lvl w:ilvl="0" w:tplc="D282710C">
      <w:start w:val="1"/>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C048A0"/>
    <w:multiLevelType w:val="multilevel"/>
    <w:tmpl w:val="D4007E8A"/>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9A5DA2"/>
    <w:multiLevelType w:val="hybridMultilevel"/>
    <w:tmpl w:val="2FA887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4C6D0D"/>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5B2660"/>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CD7349"/>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551DE4"/>
    <w:multiLevelType w:val="multilevel"/>
    <w:tmpl w:val="F274EC6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02C15"/>
    <w:multiLevelType w:val="multilevel"/>
    <w:tmpl w:val="B258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27324"/>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BA61DC3"/>
    <w:multiLevelType w:val="hybridMultilevel"/>
    <w:tmpl w:val="BF3621CC"/>
    <w:lvl w:ilvl="0" w:tplc="D282710C">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E411176"/>
    <w:multiLevelType w:val="multilevel"/>
    <w:tmpl w:val="F9DCF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FA493D"/>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CC421E"/>
    <w:multiLevelType w:val="hybridMultilevel"/>
    <w:tmpl w:val="11B834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EA31E4"/>
    <w:multiLevelType w:val="hybridMultilevel"/>
    <w:tmpl w:val="24482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D41726"/>
    <w:multiLevelType w:val="hybridMultilevel"/>
    <w:tmpl w:val="EFA2A432"/>
    <w:lvl w:ilvl="0" w:tplc="F7AC4B9C">
      <w:start w:val="11"/>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633FD9"/>
    <w:multiLevelType w:val="hybridMultilevel"/>
    <w:tmpl w:val="0952CD7E"/>
    <w:lvl w:ilvl="0" w:tplc="D282710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num>
  <w:num w:numId="2">
    <w:abstractNumId w:val="5"/>
    <w:lvlOverride w:ilvl="0">
      <w:startOverride w:val="9"/>
    </w:lvlOverride>
  </w:num>
  <w:num w:numId="3">
    <w:abstractNumId w:val="23"/>
  </w:num>
  <w:num w:numId="4">
    <w:abstractNumId w:val="4"/>
  </w:num>
  <w:num w:numId="5">
    <w:abstractNumId w:val="1"/>
  </w:num>
  <w:num w:numId="6">
    <w:abstractNumId w:val="24"/>
  </w:num>
  <w:num w:numId="7">
    <w:abstractNumId w:val="14"/>
  </w:num>
  <w:num w:numId="8">
    <w:abstractNumId w:val="19"/>
  </w:num>
  <w:num w:numId="9">
    <w:abstractNumId w:val="8"/>
  </w:num>
  <w:num w:numId="10">
    <w:abstractNumId w:val="2"/>
  </w:num>
  <w:num w:numId="11">
    <w:abstractNumId w:val="18"/>
  </w:num>
  <w:num w:numId="12">
    <w:abstractNumId w:val="17"/>
  </w:num>
  <w:num w:numId="13">
    <w:abstractNumId w:val="25"/>
  </w:num>
  <w:num w:numId="14">
    <w:abstractNumId w:val="2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1"/>
  </w:num>
  <w:num w:numId="19">
    <w:abstractNumId w:val="27"/>
  </w:num>
  <w:num w:numId="20">
    <w:abstractNumId w:val="15"/>
  </w:num>
  <w:num w:numId="21">
    <w:abstractNumId w:val="22"/>
  </w:num>
  <w:num w:numId="22">
    <w:abstractNumId w:val="28"/>
  </w:num>
  <w:num w:numId="23">
    <w:abstractNumId w:val="7"/>
  </w:num>
  <w:num w:numId="24">
    <w:abstractNumId w:val="10"/>
  </w:num>
  <w:num w:numId="25">
    <w:abstractNumId w:val="13"/>
  </w:num>
  <w:num w:numId="26">
    <w:abstractNumId w:val="6"/>
  </w:num>
  <w:num w:numId="27">
    <w:abstractNumId w:val="12"/>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8"/>
    <w:rsid w:val="00005025"/>
    <w:rsid w:val="00006F72"/>
    <w:rsid w:val="000132DE"/>
    <w:rsid w:val="00014C03"/>
    <w:rsid w:val="00015324"/>
    <w:rsid w:val="000210B6"/>
    <w:rsid w:val="00030A45"/>
    <w:rsid w:val="00034BD5"/>
    <w:rsid w:val="00041EBC"/>
    <w:rsid w:val="000444AF"/>
    <w:rsid w:val="00065CC2"/>
    <w:rsid w:val="000666F1"/>
    <w:rsid w:val="00066C61"/>
    <w:rsid w:val="00067EA9"/>
    <w:rsid w:val="000746F2"/>
    <w:rsid w:val="00091C7B"/>
    <w:rsid w:val="000978AC"/>
    <w:rsid w:val="000A45C7"/>
    <w:rsid w:val="000A4857"/>
    <w:rsid w:val="000B03A8"/>
    <w:rsid w:val="000B3BAF"/>
    <w:rsid w:val="000D7577"/>
    <w:rsid w:val="000E126F"/>
    <w:rsid w:val="000E3579"/>
    <w:rsid w:val="000F5E28"/>
    <w:rsid w:val="000F5EC9"/>
    <w:rsid w:val="000F6A53"/>
    <w:rsid w:val="000F710C"/>
    <w:rsid w:val="00101A96"/>
    <w:rsid w:val="001046E3"/>
    <w:rsid w:val="00106325"/>
    <w:rsid w:val="00112376"/>
    <w:rsid w:val="0012050D"/>
    <w:rsid w:val="00122F4F"/>
    <w:rsid w:val="00144A3A"/>
    <w:rsid w:val="001549FD"/>
    <w:rsid w:val="00167EF2"/>
    <w:rsid w:val="00184827"/>
    <w:rsid w:val="00184F1D"/>
    <w:rsid w:val="00194AD9"/>
    <w:rsid w:val="00194BFC"/>
    <w:rsid w:val="00195254"/>
    <w:rsid w:val="001A369D"/>
    <w:rsid w:val="001A550C"/>
    <w:rsid w:val="001B1176"/>
    <w:rsid w:val="001B152C"/>
    <w:rsid w:val="001B3A4C"/>
    <w:rsid w:val="001D0678"/>
    <w:rsid w:val="001D5F40"/>
    <w:rsid w:val="001E38DB"/>
    <w:rsid w:val="0020482E"/>
    <w:rsid w:val="00212835"/>
    <w:rsid w:val="0021570A"/>
    <w:rsid w:val="00217FF1"/>
    <w:rsid w:val="00226549"/>
    <w:rsid w:val="002266E6"/>
    <w:rsid w:val="00244171"/>
    <w:rsid w:val="002468B9"/>
    <w:rsid w:val="0025084C"/>
    <w:rsid w:val="00251371"/>
    <w:rsid w:val="00256603"/>
    <w:rsid w:val="00266BB0"/>
    <w:rsid w:val="00274FFA"/>
    <w:rsid w:val="00282482"/>
    <w:rsid w:val="00284AC2"/>
    <w:rsid w:val="00296914"/>
    <w:rsid w:val="002B4D38"/>
    <w:rsid w:val="002C1B0C"/>
    <w:rsid w:val="002D0623"/>
    <w:rsid w:val="002F4620"/>
    <w:rsid w:val="002F6829"/>
    <w:rsid w:val="00305C56"/>
    <w:rsid w:val="003243F2"/>
    <w:rsid w:val="00325AC2"/>
    <w:rsid w:val="00331935"/>
    <w:rsid w:val="00334AD0"/>
    <w:rsid w:val="0034354A"/>
    <w:rsid w:val="00362AFE"/>
    <w:rsid w:val="003755DA"/>
    <w:rsid w:val="00377539"/>
    <w:rsid w:val="00383BF5"/>
    <w:rsid w:val="00392BF3"/>
    <w:rsid w:val="00396F77"/>
    <w:rsid w:val="003A3B80"/>
    <w:rsid w:val="003A7E8B"/>
    <w:rsid w:val="003B0E41"/>
    <w:rsid w:val="003C02E9"/>
    <w:rsid w:val="003D03F9"/>
    <w:rsid w:val="003E2EA6"/>
    <w:rsid w:val="003E515E"/>
    <w:rsid w:val="00401606"/>
    <w:rsid w:val="00410555"/>
    <w:rsid w:val="00423AE7"/>
    <w:rsid w:val="0043048B"/>
    <w:rsid w:val="0043139C"/>
    <w:rsid w:val="00433BEE"/>
    <w:rsid w:val="004361BF"/>
    <w:rsid w:val="00442864"/>
    <w:rsid w:val="00453843"/>
    <w:rsid w:val="00462041"/>
    <w:rsid w:val="0046306C"/>
    <w:rsid w:val="00465447"/>
    <w:rsid w:val="0046783D"/>
    <w:rsid w:val="00473923"/>
    <w:rsid w:val="00474F28"/>
    <w:rsid w:val="00483C13"/>
    <w:rsid w:val="00487EEE"/>
    <w:rsid w:val="00494D48"/>
    <w:rsid w:val="004953D7"/>
    <w:rsid w:val="004968A0"/>
    <w:rsid w:val="004A3876"/>
    <w:rsid w:val="004C53F3"/>
    <w:rsid w:val="004D23EB"/>
    <w:rsid w:val="004E21EA"/>
    <w:rsid w:val="0050602C"/>
    <w:rsid w:val="005076A4"/>
    <w:rsid w:val="0053252E"/>
    <w:rsid w:val="005419F5"/>
    <w:rsid w:val="005429CE"/>
    <w:rsid w:val="00542F13"/>
    <w:rsid w:val="00545BD1"/>
    <w:rsid w:val="0055521B"/>
    <w:rsid w:val="00556773"/>
    <w:rsid w:val="00564A40"/>
    <w:rsid w:val="005801A8"/>
    <w:rsid w:val="0058288D"/>
    <w:rsid w:val="0058721C"/>
    <w:rsid w:val="00587E9C"/>
    <w:rsid w:val="005A25C9"/>
    <w:rsid w:val="005A781A"/>
    <w:rsid w:val="005A7C96"/>
    <w:rsid w:val="005B0160"/>
    <w:rsid w:val="005D34F1"/>
    <w:rsid w:val="005D5EB9"/>
    <w:rsid w:val="005F62D2"/>
    <w:rsid w:val="00605CE5"/>
    <w:rsid w:val="00611552"/>
    <w:rsid w:val="00621AA2"/>
    <w:rsid w:val="0062788B"/>
    <w:rsid w:val="00627FE9"/>
    <w:rsid w:val="00643944"/>
    <w:rsid w:val="00651384"/>
    <w:rsid w:val="00654922"/>
    <w:rsid w:val="006625F0"/>
    <w:rsid w:val="006645D4"/>
    <w:rsid w:val="00680E35"/>
    <w:rsid w:val="006A5B98"/>
    <w:rsid w:val="006A7969"/>
    <w:rsid w:val="006B5506"/>
    <w:rsid w:val="006C034A"/>
    <w:rsid w:val="006C0548"/>
    <w:rsid w:val="006C19AD"/>
    <w:rsid w:val="006F4520"/>
    <w:rsid w:val="0070340B"/>
    <w:rsid w:val="007173FF"/>
    <w:rsid w:val="007174DF"/>
    <w:rsid w:val="0073151D"/>
    <w:rsid w:val="0073553B"/>
    <w:rsid w:val="0074217F"/>
    <w:rsid w:val="00743BB9"/>
    <w:rsid w:val="00744D92"/>
    <w:rsid w:val="007647A9"/>
    <w:rsid w:val="007741EC"/>
    <w:rsid w:val="007836FE"/>
    <w:rsid w:val="007904A0"/>
    <w:rsid w:val="00793014"/>
    <w:rsid w:val="00794C3A"/>
    <w:rsid w:val="0079588E"/>
    <w:rsid w:val="007A56CC"/>
    <w:rsid w:val="007B7BCC"/>
    <w:rsid w:val="007B7D7C"/>
    <w:rsid w:val="007C4CAD"/>
    <w:rsid w:val="007D2F8B"/>
    <w:rsid w:val="007D6DEC"/>
    <w:rsid w:val="007E1CC2"/>
    <w:rsid w:val="007E2899"/>
    <w:rsid w:val="007F091E"/>
    <w:rsid w:val="007F18A5"/>
    <w:rsid w:val="00825DB6"/>
    <w:rsid w:val="00826BDB"/>
    <w:rsid w:val="008400F3"/>
    <w:rsid w:val="008434BC"/>
    <w:rsid w:val="0085564B"/>
    <w:rsid w:val="0086068F"/>
    <w:rsid w:val="00862764"/>
    <w:rsid w:val="00870002"/>
    <w:rsid w:val="008812DF"/>
    <w:rsid w:val="008846DD"/>
    <w:rsid w:val="00894EDD"/>
    <w:rsid w:val="00895D58"/>
    <w:rsid w:val="008A5D1E"/>
    <w:rsid w:val="008B150E"/>
    <w:rsid w:val="008B60C2"/>
    <w:rsid w:val="008D427B"/>
    <w:rsid w:val="008D7BAC"/>
    <w:rsid w:val="008E1A87"/>
    <w:rsid w:val="008E1F84"/>
    <w:rsid w:val="008E3187"/>
    <w:rsid w:val="008E5569"/>
    <w:rsid w:val="008F49F2"/>
    <w:rsid w:val="008F654D"/>
    <w:rsid w:val="008F65F0"/>
    <w:rsid w:val="008F7C7B"/>
    <w:rsid w:val="0091534D"/>
    <w:rsid w:val="0092189F"/>
    <w:rsid w:val="009223E7"/>
    <w:rsid w:val="009243A7"/>
    <w:rsid w:val="00926B59"/>
    <w:rsid w:val="0094195F"/>
    <w:rsid w:val="009420A7"/>
    <w:rsid w:val="0095165F"/>
    <w:rsid w:val="009628AF"/>
    <w:rsid w:val="00962913"/>
    <w:rsid w:val="00966C38"/>
    <w:rsid w:val="00975556"/>
    <w:rsid w:val="009871EE"/>
    <w:rsid w:val="00993B7D"/>
    <w:rsid w:val="0099563B"/>
    <w:rsid w:val="00996D20"/>
    <w:rsid w:val="009B3375"/>
    <w:rsid w:val="009B5FB8"/>
    <w:rsid w:val="009D2F90"/>
    <w:rsid w:val="009F28C4"/>
    <w:rsid w:val="00A03C54"/>
    <w:rsid w:val="00A03C6B"/>
    <w:rsid w:val="00A1324A"/>
    <w:rsid w:val="00A16CBC"/>
    <w:rsid w:val="00A21091"/>
    <w:rsid w:val="00A254AA"/>
    <w:rsid w:val="00A34FDF"/>
    <w:rsid w:val="00A46FB6"/>
    <w:rsid w:val="00A56D4A"/>
    <w:rsid w:val="00A606A0"/>
    <w:rsid w:val="00A61B7D"/>
    <w:rsid w:val="00A80044"/>
    <w:rsid w:val="00A8235E"/>
    <w:rsid w:val="00A83F7F"/>
    <w:rsid w:val="00A93182"/>
    <w:rsid w:val="00AA4FAA"/>
    <w:rsid w:val="00AA5668"/>
    <w:rsid w:val="00AB5DEC"/>
    <w:rsid w:val="00AC259B"/>
    <w:rsid w:val="00AD3AFA"/>
    <w:rsid w:val="00AF0D72"/>
    <w:rsid w:val="00AF23F3"/>
    <w:rsid w:val="00AF37F7"/>
    <w:rsid w:val="00AF4177"/>
    <w:rsid w:val="00AF4199"/>
    <w:rsid w:val="00B05112"/>
    <w:rsid w:val="00B06BA7"/>
    <w:rsid w:val="00B26E23"/>
    <w:rsid w:val="00B323EE"/>
    <w:rsid w:val="00B51281"/>
    <w:rsid w:val="00B51AA8"/>
    <w:rsid w:val="00B52B24"/>
    <w:rsid w:val="00B61CA6"/>
    <w:rsid w:val="00B62F01"/>
    <w:rsid w:val="00B9130E"/>
    <w:rsid w:val="00B918AB"/>
    <w:rsid w:val="00B936E6"/>
    <w:rsid w:val="00B93FC7"/>
    <w:rsid w:val="00B97F1D"/>
    <w:rsid w:val="00BA6413"/>
    <w:rsid w:val="00BD1732"/>
    <w:rsid w:val="00BD20E9"/>
    <w:rsid w:val="00BD2B32"/>
    <w:rsid w:val="00BE31C6"/>
    <w:rsid w:val="00BE34B6"/>
    <w:rsid w:val="00BF3AC3"/>
    <w:rsid w:val="00BF57B4"/>
    <w:rsid w:val="00C039FE"/>
    <w:rsid w:val="00C144D9"/>
    <w:rsid w:val="00C308FB"/>
    <w:rsid w:val="00C37912"/>
    <w:rsid w:val="00C50862"/>
    <w:rsid w:val="00C518FA"/>
    <w:rsid w:val="00C63642"/>
    <w:rsid w:val="00C65DD7"/>
    <w:rsid w:val="00C70B0F"/>
    <w:rsid w:val="00C84B99"/>
    <w:rsid w:val="00C93847"/>
    <w:rsid w:val="00CB722D"/>
    <w:rsid w:val="00CB7D46"/>
    <w:rsid w:val="00CC3F1F"/>
    <w:rsid w:val="00CC533F"/>
    <w:rsid w:val="00CD54A0"/>
    <w:rsid w:val="00CD7963"/>
    <w:rsid w:val="00CF0F86"/>
    <w:rsid w:val="00CF379C"/>
    <w:rsid w:val="00D07C4C"/>
    <w:rsid w:val="00D16603"/>
    <w:rsid w:val="00D23BC5"/>
    <w:rsid w:val="00D30878"/>
    <w:rsid w:val="00D32626"/>
    <w:rsid w:val="00D6285F"/>
    <w:rsid w:val="00D65E3F"/>
    <w:rsid w:val="00D73D49"/>
    <w:rsid w:val="00D80583"/>
    <w:rsid w:val="00D813F8"/>
    <w:rsid w:val="00D94F39"/>
    <w:rsid w:val="00D96793"/>
    <w:rsid w:val="00DA6836"/>
    <w:rsid w:val="00DA6C05"/>
    <w:rsid w:val="00DB5E82"/>
    <w:rsid w:val="00DC4DE2"/>
    <w:rsid w:val="00DD07A5"/>
    <w:rsid w:val="00DD367D"/>
    <w:rsid w:val="00DD50FC"/>
    <w:rsid w:val="00DF0455"/>
    <w:rsid w:val="00DF3C2E"/>
    <w:rsid w:val="00DF7E49"/>
    <w:rsid w:val="00E102B7"/>
    <w:rsid w:val="00E109E0"/>
    <w:rsid w:val="00E15062"/>
    <w:rsid w:val="00E21EC8"/>
    <w:rsid w:val="00E31E78"/>
    <w:rsid w:val="00E40490"/>
    <w:rsid w:val="00E435CF"/>
    <w:rsid w:val="00E77EA1"/>
    <w:rsid w:val="00E87A05"/>
    <w:rsid w:val="00EA2F64"/>
    <w:rsid w:val="00EA44C9"/>
    <w:rsid w:val="00EA58CC"/>
    <w:rsid w:val="00EC312D"/>
    <w:rsid w:val="00EF309C"/>
    <w:rsid w:val="00F14BA4"/>
    <w:rsid w:val="00F2073B"/>
    <w:rsid w:val="00F414C3"/>
    <w:rsid w:val="00F45D82"/>
    <w:rsid w:val="00F51853"/>
    <w:rsid w:val="00F51D98"/>
    <w:rsid w:val="00F556D1"/>
    <w:rsid w:val="00F631A5"/>
    <w:rsid w:val="00F652AA"/>
    <w:rsid w:val="00F754EE"/>
    <w:rsid w:val="00F848D9"/>
    <w:rsid w:val="00FA4984"/>
    <w:rsid w:val="00FA5211"/>
    <w:rsid w:val="00FC05C1"/>
    <w:rsid w:val="00FE77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BAE1"/>
  <w15:chartTrackingRefBased/>
  <w15:docId w15:val="{55DBC32A-2A77-C048-87F0-27A305E6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is">
    <w:name w:val="standard_is"/>
    <w:basedOn w:val="Standard"/>
    <w:qFormat/>
    <w:rsid w:val="00A8235E"/>
    <w:pPr>
      <w:spacing w:before="120" w:line="280" w:lineRule="exact"/>
    </w:pPr>
    <w:rPr>
      <w:rFonts w:ascii="Arial" w:hAnsi="Arial" w:cs="Arial"/>
      <w:color w:val="000000"/>
      <w:sz w:val="20"/>
      <w:szCs w:val="20"/>
      <w:lang w:val="de-DE"/>
    </w:rPr>
  </w:style>
  <w:style w:type="paragraph" w:styleId="StandardWeb">
    <w:name w:val="Normal (Web)"/>
    <w:basedOn w:val="Standard"/>
    <w:uiPriority w:val="99"/>
    <w:semiHidden/>
    <w:unhideWhenUsed/>
    <w:rsid w:val="006C0548"/>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7F18A5"/>
    <w:pPr>
      <w:ind w:left="720"/>
      <w:contextualSpacing/>
    </w:pPr>
  </w:style>
  <w:style w:type="paragraph" w:styleId="Fuzeile">
    <w:name w:val="footer"/>
    <w:basedOn w:val="Standard"/>
    <w:link w:val="FuzeileZchn"/>
    <w:uiPriority w:val="99"/>
    <w:unhideWhenUsed/>
    <w:rsid w:val="009D2F90"/>
    <w:pPr>
      <w:tabs>
        <w:tab w:val="center" w:pos="4536"/>
        <w:tab w:val="right" w:pos="9072"/>
      </w:tabs>
    </w:pPr>
  </w:style>
  <w:style w:type="character" w:customStyle="1" w:styleId="FuzeileZchn">
    <w:name w:val="Fußzeile Zchn"/>
    <w:basedOn w:val="Absatz-Standardschriftart"/>
    <w:link w:val="Fuzeile"/>
    <w:uiPriority w:val="99"/>
    <w:rsid w:val="009D2F90"/>
  </w:style>
  <w:style w:type="character" w:styleId="Seitenzahl">
    <w:name w:val="page number"/>
    <w:basedOn w:val="Absatz-Standardschriftart"/>
    <w:uiPriority w:val="99"/>
    <w:semiHidden/>
    <w:unhideWhenUsed/>
    <w:rsid w:val="009D2F90"/>
  </w:style>
  <w:style w:type="character" w:styleId="Hyperlink">
    <w:name w:val="Hyperlink"/>
    <w:basedOn w:val="Absatz-Standardschriftart"/>
    <w:uiPriority w:val="99"/>
    <w:unhideWhenUsed/>
    <w:rsid w:val="00B62F01"/>
    <w:rPr>
      <w:color w:val="0563C1" w:themeColor="hyperlink"/>
      <w:u w:val="single"/>
    </w:rPr>
  </w:style>
  <w:style w:type="character" w:styleId="NichtaufgelsteErwhnung">
    <w:name w:val="Unresolved Mention"/>
    <w:basedOn w:val="Absatz-Standardschriftart"/>
    <w:uiPriority w:val="99"/>
    <w:semiHidden/>
    <w:unhideWhenUsed/>
    <w:rsid w:val="00B62F01"/>
    <w:rPr>
      <w:color w:val="605E5C"/>
      <w:shd w:val="clear" w:color="auto" w:fill="E1DFDD"/>
    </w:rPr>
  </w:style>
  <w:style w:type="paragraph" w:styleId="Sprechblasentext">
    <w:name w:val="Balloon Text"/>
    <w:basedOn w:val="Standard"/>
    <w:link w:val="SprechblasentextZchn"/>
    <w:uiPriority w:val="99"/>
    <w:semiHidden/>
    <w:unhideWhenUsed/>
    <w:rsid w:val="00A46F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6FB6"/>
    <w:rPr>
      <w:rFonts w:ascii="Times New Roman" w:hAnsi="Times New Roman" w:cs="Times New Roman"/>
      <w:sz w:val="18"/>
      <w:szCs w:val="18"/>
    </w:rPr>
  </w:style>
  <w:style w:type="paragraph" w:styleId="berarbeitung">
    <w:name w:val="Revision"/>
    <w:hidden/>
    <w:uiPriority w:val="99"/>
    <w:semiHidden/>
    <w:rsid w:val="003A7E8B"/>
  </w:style>
  <w:style w:type="character" w:styleId="Kommentarzeichen">
    <w:name w:val="annotation reference"/>
    <w:basedOn w:val="Absatz-Standardschriftart"/>
    <w:uiPriority w:val="99"/>
    <w:semiHidden/>
    <w:unhideWhenUsed/>
    <w:rsid w:val="003A7E8B"/>
    <w:rPr>
      <w:sz w:val="16"/>
      <w:szCs w:val="16"/>
    </w:rPr>
  </w:style>
  <w:style w:type="paragraph" w:styleId="Kommentartext">
    <w:name w:val="annotation text"/>
    <w:basedOn w:val="Standard"/>
    <w:link w:val="KommentartextZchn"/>
    <w:uiPriority w:val="99"/>
    <w:semiHidden/>
    <w:unhideWhenUsed/>
    <w:rsid w:val="003A7E8B"/>
    <w:rPr>
      <w:rFonts w:ascii="Arial" w:hAnsi="Arial"/>
      <w:sz w:val="20"/>
      <w:szCs w:val="20"/>
    </w:rPr>
  </w:style>
  <w:style w:type="character" w:customStyle="1" w:styleId="KommentartextZchn">
    <w:name w:val="Kommentartext Zchn"/>
    <w:basedOn w:val="Absatz-Standardschriftart"/>
    <w:link w:val="Kommentartext"/>
    <w:uiPriority w:val="99"/>
    <w:semiHidden/>
    <w:rsid w:val="003A7E8B"/>
    <w:rPr>
      <w:rFonts w:ascii="Arial" w:hAnsi="Arial"/>
      <w:sz w:val="20"/>
      <w:szCs w:val="20"/>
    </w:rPr>
  </w:style>
  <w:style w:type="paragraph" w:styleId="KeinLeerraum">
    <w:name w:val="No Spacing"/>
    <w:uiPriority w:val="1"/>
    <w:qFormat/>
    <w:rsid w:val="003A7E8B"/>
    <w:pPr>
      <w:widowControl w:val="0"/>
      <w:autoSpaceDE w:val="0"/>
      <w:autoSpaceDN w:val="0"/>
    </w:pPr>
    <w:rPr>
      <w:rFonts w:ascii="Arial" w:eastAsia="Arial" w:hAnsi="Arial" w:cs="Arial"/>
      <w:sz w:val="22"/>
      <w:szCs w:val="22"/>
      <w:lang w:eastAsia="de-CH" w:bidi="de-CH"/>
    </w:rPr>
  </w:style>
  <w:style w:type="paragraph" w:styleId="Funotentext">
    <w:name w:val="footnote text"/>
    <w:basedOn w:val="Standard"/>
    <w:link w:val="FunotentextZchn"/>
    <w:uiPriority w:val="99"/>
    <w:semiHidden/>
    <w:unhideWhenUsed/>
    <w:rsid w:val="003A7E8B"/>
    <w:rPr>
      <w:rFonts w:ascii="Arial" w:hAnsi="Arial"/>
      <w:sz w:val="20"/>
      <w:szCs w:val="20"/>
    </w:rPr>
  </w:style>
  <w:style w:type="character" w:customStyle="1" w:styleId="FunotentextZchn">
    <w:name w:val="Fußnotentext Zchn"/>
    <w:basedOn w:val="Absatz-Standardschriftart"/>
    <w:link w:val="Funotentext"/>
    <w:uiPriority w:val="99"/>
    <w:semiHidden/>
    <w:rsid w:val="003A7E8B"/>
    <w:rPr>
      <w:rFonts w:ascii="Arial" w:hAnsi="Arial"/>
      <w:sz w:val="20"/>
      <w:szCs w:val="20"/>
    </w:rPr>
  </w:style>
  <w:style w:type="character" w:styleId="Funotenzeichen">
    <w:name w:val="footnote reference"/>
    <w:basedOn w:val="Absatz-Standardschriftart"/>
    <w:uiPriority w:val="99"/>
    <w:semiHidden/>
    <w:unhideWhenUsed/>
    <w:rsid w:val="003A7E8B"/>
    <w:rPr>
      <w:vertAlign w:val="superscript"/>
    </w:rPr>
  </w:style>
  <w:style w:type="paragraph" w:styleId="Kopfzeile">
    <w:name w:val="header"/>
    <w:basedOn w:val="Standard"/>
    <w:link w:val="KopfzeileZchn"/>
    <w:uiPriority w:val="99"/>
    <w:unhideWhenUsed/>
    <w:rsid w:val="00C518FA"/>
    <w:pPr>
      <w:tabs>
        <w:tab w:val="center" w:pos="4536"/>
        <w:tab w:val="right" w:pos="9072"/>
      </w:tabs>
    </w:pPr>
  </w:style>
  <w:style w:type="character" w:customStyle="1" w:styleId="KopfzeileZchn">
    <w:name w:val="Kopfzeile Zchn"/>
    <w:basedOn w:val="Absatz-Standardschriftart"/>
    <w:link w:val="Kopfzeile"/>
    <w:uiPriority w:val="99"/>
    <w:rsid w:val="00C518FA"/>
  </w:style>
  <w:style w:type="table" w:styleId="EinfacheTabelle1">
    <w:name w:val="Plain Table 1"/>
    <w:basedOn w:val="NormaleTabelle"/>
    <w:uiPriority w:val="41"/>
    <w:rsid w:val="00DA6C05"/>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DA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7871">
      <w:bodyDiv w:val="1"/>
      <w:marLeft w:val="0"/>
      <w:marRight w:val="0"/>
      <w:marTop w:val="0"/>
      <w:marBottom w:val="0"/>
      <w:divBdr>
        <w:top w:val="none" w:sz="0" w:space="0" w:color="auto"/>
        <w:left w:val="none" w:sz="0" w:space="0" w:color="auto"/>
        <w:bottom w:val="none" w:sz="0" w:space="0" w:color="auto"/>
        <w:right w:val="none" w:sz="0" w:space="0" w:color="auto"/>
      </w:divBdr>
    </w:div>
    <w:div w:id="662897109">
      <w:bodyDiv w:val="1"/>
      <w:marLeft w:val="0"/>
      <w:marRight w:val="0"/>
      <w:marTop w:val="0"/>
      <w:marBottom w:val="0"/>
      <w:divBdr>
        <w:top w:val="none" w:sz="0" w:space="0" w:color="auto"/>
        <w:left w:val="none" w:sz="0" w:space="0" w:color="auto"/>
        <w:bottom w:val="none" w:sz="0" w:space="0" w:color="auto"/>
        <w:right w:val="none" w:sz="0" w:space="0" w:color="auto"/>
      </w:divBdr>
    </w:div>
    <w:div w:id="739981763">
      <w:bodyDiv w:val="1"/>
      <w:marLeft w:val="0"/>
      <w:marRight w:val="0"/>
      <w:marTop w:val="0"/>
      <w:marBottom w:val="0"/>
      <w:divBdr>
        <w:top w:val="none" w:sz="0" w:space="0" w:color="auto"/>
        <w:left w:val="none" w:sz="0" w:space="0" w:color="auto"/>
        <w:bottom w:val="none" w:sz="0" w:space="0" w:color="auto"/>
        <w:right w:val="none" w:sz="0" w:space="0" w:color="auto"/>
      </w:divBdr>
    </w:div>
    <w:div w:id="1159079864">
      <w:bodyDiv w:val="1"/>
      <w:marLeft w:val="0"/>
      <w:marRight w:val="0"/>
      <w:marTop w:val="0"/>
      <w:marBottom w:val="0"/>
      <w:divBdr>
        <w:top w:val="none" w:sz="0" w:space="0" w:color="auto"/>
        <w:left w:val="none" w:sz="0" w:space="0" w:color="auto"/>
        <w:bottom w:val="none" w:sz="0" w:space="0" w:color="auto"/>
        <w:right w:val="none" w:sz="0" w:space="0" w:color="auto"/>
      </w:divBdr>
    </w:div>
    <w:div w:id="1247835785">
      <w:bodyDiv w:val="1"/>
      <w:marLeft w:val="0"/>
      <w:marRight w:val="0"/>
      <w:marTop w:val="0"/>
      <w:marBottom w:val="0"/>
      <w:divBdr>
        <w:top w:val="none" w:sz="0" w:space="0" w:color="auto"/>
        <w:left w:val="none" w:sz="0" w:space="0" w:color="auto"/>
        <w:bottom w:val="none" w:sz="0" w:space="0" w:color="auto"/>
        <w:right w:val="none" w:sz="0" w:space="0" w:color="auto"/>
      </w:divBdr>
      <w:divsChild>
        <w:div w:id="577832458">
          <w:marLeft w:val="0"/>
          <w:marRight w:val="0"/>
          <w:marTop w:val="0"/>
          <w:marBottom w:val="0"/>
          <w:divBdr>
            <w:top w:val="none" w:sz="0" w:space="0" w:color="auto"/>
            <w:left w:val="none" w:sz="0" w:space="0" w:color="auto"/>
            <w:bottom w:val="none" w:sz="0" w:space="0" w:color="auto"/>
            <w:right w:val="none" w:sz="0" w:space="0" w:color="auto"/>
          </w:divBdr>
        </w:div>
      </w:divsChild>
    </w:div>
    <w:div w:id="1507137304">
      <w:bodyDiv w:val="1"/>
      <w:marLeft w:val="0"/>
      <w:marRight w:val="0"/>
      <w:marTop w:val="0"/>
      <w:marBottom w:val="0"/>
      <w:divBdr>
        <w:top w:val="none" w:sz="0" w:space="0" w:color="auto"/>
        <w:left w:val="none" w:sz="0" w:space="0" w:color="auto"/>
        <w:bottom w:val="none" w:sz="0" w:space="0" w:color="auto"/>
        <w:right w:val="none" w:sz="0" w:space="0" w:color="auto"/>
      </w:divBdr>
    </w:div>
    <w:div w:id="1553540345">
      <w:bodyDiv w:val="1"/>
      <w:marLeft w:val="0"/>
      <w:marRight w:val="0"/>
      <w:marTop w:val="0"/>
      <w:marBottom w:val="0"/>
      <w:divBdr>
        <w:top w:val="none" w:sz="0" w:space="0" w:color="auto"/>
        <w:left w:val="none" w:sz="0" w:space="0" w:color="auto"/>
        <w:bottom w:val="none" w:sz="0" w:space="0" w:color="auto"/>
        <w:right w:val="none" w:sz="0" w:space="0" w:color="auto"/>
      </w:divBdr>
    </w:div>
    <w:div w:id="1677533838">
      <w:bodyDiv w:val="1"/>
      <w:marLeft w:val="0"/>
      <w:marRight w:val="0"/>
      <w:marTop w:val="0"/>
      <w:marBottom w:val="0"/>
      <w:divBdr>
        <w:top w:val="none" w:sz="0" w:space="0" w:color="auto"/>
        <w:left w:val="none" w:sz="0" w:space="0" w:color="auto"/>
        <w:bottom w:val="none" w:sz="0" w:space="0" w:color="auto"/>
        <w:right w:val="none" w:sz="0" w:space="0" w:color="auto"/>
      </w:divBdr>
    </w:div>
    <w:div w:id="1886336287">
      <w:bodyDiv w:val="1"/>
      <w:marLeft w:val="0"/>
      <w:marRight w:val="0"/>
      <w:marTop w:val="0"/>
      <w:marBottom w:val="0"/>
      <w:divBdr>
        <w:top w:val="none" w:sz="0" w:space="0" w:color="auto"/>
        <w:left w:val="none" w:sz="0" w:space="0" w:color="auto"/>
        <w:bottom w:val="none" w:sz="0" w:space="0" w:color="auto"/>
        <w:right w:val="none" w:sz="0" w:space="0" w:color="auto"/>
      </w:divBdr>
    </w:div>
    <w:div w:id="1958364008">
      <w:bodyDiv w:val="1"/>
      <w:marLeft w:val="0"/>
      <w:marRight w:val="0"/>
      <w:marTop w:val="0"/>
      <w:marBottom w:val="0"/>
      <w:divBdr>
        <w:top w:val="none" w:sz="0" w:space="0" w:color="auto"/>
        <w:left w:val="none" w:sz="0" w:space="0" w:color="auto"/>
        <w:bottom w:val="none" w:sz="0" w:space="0" w:color="auto"/>
        <w:right w:val="none" w:sz="0" w:space="0" w:color="auto"/>
      </w:divBdr>
    </w:div>
    <w:div w:id="1966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917</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Philipp Schüepp</cp:lastModifiedBy>
  <cp:revision>4</cp:revision>
  <cp:lastPrinted>2020-05-04T13:58:00Z</cp:lastPrinted>
  <dcterms:created xsi:type="dcterms:W3CDTF">2020-05-04T14:00:00Z</dcterms:created>
  <dcterms:modified xsi:type="dcterms:W3CDTF">2020-05-04T14:03:00Z</dcterms:modified>
</cp:coreProperties>
</file>