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8B" w:rsidRPr="007735EA" w:rsidRDefault="00DA6C05" w:rsidP="003A7E8B">
      <w:pPr>
        <w:rPr>
          <w:rFonts w:ascii="BrownPro" w:eastAsia="Times New Roman" w:hAnsi="BrownPro" w:cs="Arial"/>
          <w:b/>
          <w:bCs/>
          <w:color w:val="000000" w:themeColor="text1"/>
          <w:sz w:val="22"/>
          <w:szCs w:val="22"/>
          <w:lang w:val="it-IT" w:eastAsia="de-DE"/>
        </w:rPr>
      </w:pPr>
      <w:r w:rsidRPr="007735EA">
        <w:rPr>
          <w:rFonts w:ascii="BrownPro" w:hAnsi="BrownPro" w:cs="Arial"/>
          <w:b/>
          <w:bCs/>
          <w:color w:val="000000" w:themeColor="text1"/>
          <w:sz w:val="28"/>
          <w:szCs w:val="28"/>
          <w:lang w:val="it-IT"/>
        </w:rPr>
        <w:t>M</w:t>
      </w:r>
      <w:r w:rsidR="007735EA" w:rsidRPr="007735EA">
        <w:rPr>
          <w:rFonts w:ascii="BrownPro" w:hAnsi="BrownPro" w:cs="Arial"/>
          <w:b/>
          <w:bCs/>
          <w:color w:val="000000" w:themeColor="text1"/>
          <w:sz w:val="28"/>
          <w:szCs w:val="28"/>
          <w:lang w:val="it-IT"/>
        </w:rPr>
        <w:t xml:space="preserve">odello piano di protezione per la formazione continua basato sul concetto generale della FSEA del </w:t>
      </w:r>
      <w:r w:rsidRPr="007735EA">
        <w:rPr>
          <w:rFonts w:ascii="BrownPro" w:hAnsi="BrownPro" w:cs="Arial"/>
          <w:b/>
          <w:bCs/>
          <w:color w:val="000000" w:themeColor="text1"/>
          <w:sz w:val="28"/>
          <w:szCs w:val="28"/>
          <w:lang w:val="it-IT"/>
        </w:rPr>
        <w:t>4.5.2020</w:t>
      </w:r>
    </w:p>
    <w:p w:rsidR="003A7E8B" w:rsidRPr="007735EA" w:rsidRDefault="003A7E8B" w:rsidP="003A7E8B">
      <w:pPr>
        <w:rPr>
          <w:rFonts w:ascii="BrownPro" w:eastAsia="Times New Roman" w:hAnsi="BrownPro" w:cs="Arial"/>
          <w:color w:val="000000" w:themeColor="text1"/>
          <w:sz w:val="22"/>
          <w:szCs w:val="22"/>
          <w:lang w:val="it-IT" w:eastAsia="de-DE"/>
        </w:rPr>
      </w:pPr>
    </w:p>
    <w:p w:rsidR="003A7E8B" w:rsidRPr="007735EA" w:rsidRDefault="003A7E8B" w:rsidP="003A7E8B">
      <w:pPr>
        <w:rPr>
          <w:rFonts w:ascii="BrownPro" w:eastAsia="Times New Roman" w:hAnsi="BrownPro" w:cs="Arial"/>
          <w:color w:val="000000" w:themeColor="text1"/>
          <w:sz w:val="22"/>
          <w:szCs w:val="22"/>
          <w:lang w:val="it-IT" w:eastAsia="de-DE"/>
        </w:rPr>
      </w:pPr>
    </w:p>
    <w:p w:rsidR="00DA6C05" w:rsidRPr="007735EA" w:rsidRDefault="007735EA" w:rsidP="003A7E8B">
      <w:pPr>
        <w:rPr>
          <w:rFonts w:ascii="BrownPro" w:eastAsia="Times New Roman" w:hAnsi="BrownPro" w:cs="Arial"/>
          <w:color w:val="000000" w:themeColor="text1"/>
          <w:lang w:val="it-IT" w:eastAsia="de-DE"/>
        </w:rPr>
      </w:pPr>
      <w:r w:rsidRPr="007735EA">
        <w:rPr>
          <w:rFonts w:ascii="BrownPro" w:eastAsia="Times New Roman" w:hAnsi="BrownPro" w:cs="Arial"/>
          <w:color w:val="000000" w:themeColor="text1"/>
          <w:highlight w:val="lightGray"/>
          <w:lang w:val="it-IT" w:eastAsia="de-DE"/>
        </w:rPr>
        <w:t>Ente di formazione</w:t>
      </w:r>
      <w:r w:rsidR="00DA6C05" w:rsidRPr="007735EA">
        <w:rPr>
          <w:rFonts w:ascii="BrownPro" w:eastAsia="Times New Roman" w:hAnsi="BrownPro" w:cs="Arial"/>
          <w:color w:val="000000" w:themeColor="text1"/>
          <w:lang w:val="it-IT" w:eastAsia="de-DE"/>
        </w:rPr>
        <w:br/>
      </w:r>
      <w:r w:rsidR="00DA6C05" w:rsidRPr="007735EA">
        <w:rPr>
          <w:rFonts w:ascii="BrownPro" w:eastAsia="Times New Roman" w:hAnsi="BrownPro" w:cs="Arial"/>
          <w:color w:val="000000" w:themeColor="text1"/>
          <w:lang w:val="it-IT" w:eastAsia="de-DE"/>
        </w:rPr>
        <w:tab/>
      </w:r>
      <w:r w:rsidR="00DA6C05" w:rsidRPr="007735EA">
        <w:rPr>
          <w:rFonts w:ascii="BrownPro" w:eastAsia="Times New Roman" w:hAnsi="BrownPro" w:cs="Arial"/>
          <w:color w:val="000000" w:themeColor="text1"/>
          <w:lang w:val="it-IT" w:eastAsia="de-DE"/>
        </w:rPr>
        <w:tab/>
      </w:r>
    </w:p>
    <w:p w:rsidR="00DA6C05" w:rsidRPr="007735EA" w:rsidRDefault="007735EA" w:rsidP="003A7E8B">
      <w:pPr>
        <w:rPr>
          <w:rFonts w:ascii="BrownPro" w:eastAsia="Times New Roman" w:hAnsi="BrownPro" w:cs="Arial"/>
          <w:color w:val="000000" w:themeColor="text1"/>
          <w:lang w:val="it-IT" w:eastAsia="de-DE"/>
        </w:rPr>
      </w:pPr>
      <w:r w:rsidRPr="007735EA">
        <w:rPr>
          <w:rFonts w:ascii="BrownPro" w:eastAsia="Times New Roman" w:hAnsi="BrownPro" w:cs="Arial"/>
          <w:color w:val="000000" w:themeColor="text1"/>
          <w:highlight w:val="lightGray"/>
          <w:lang w:val="it-IT" w:eastAsia="de-DE"/>
        </w:rPr>
        <w:t>Luogo e data</w:t>
      </w:r>
    </w:p>
    <w:p w:rsidR="00DA6C05" w:rsidRPr="007735EA" w:rsidRDefault="00DA6C05" w:rsidP="003A7E8B">
      <w:pPr>
        <w:rPr>
          <w:rFonts w:ascii="BrownPro" w:eastAsia="Times New Roman" w:hAnsi="BrownPro" w:cs="Arial"/>
          <w:color w:val="000000" w:themeColor="text1"/>
          <w:sz w:val="22"/>
          <w:szCs w:val="22"/>
          <w:lang w:val="it-IT" w:eastAsia="de-DE"/>
        </w:rPr>
      </w:pPr>
    </w:p>
    <w:p w:rsidR="003A7E8B" w:rsidRPr="007735EA" w:rsidRDefault="003A7E8B" w:rsidP="003A7E8B">
      <w:pPr>
        <w:rPr>
          <w:rFonts w:ascii="BrownPro" w:hAnsi="BrownPro" w:cs="Arial"/>
          <w:color w:val="000000" w:themeColor="text1"/>
          <w:sz w:val="22"/>
          <w:szCs w:val="22"/>
          <w:lang w:val="it-IT"/>
        </w:rPr>
      </w:pPr>
    </w:p>
    <w:p w:rsidR="007735EA" w:rsidRDefault="007735EA" w:rsidP="003A7E8B">
      <w:pPr>
        <w:rPr>
          <w:rFonts w:ascii="BrownPro" w:hAnsi="BrownPro" w:cs="Arial"/>
          <w:color w:val="000000" w:themeColor="text1"/>
          <w:lang w:val="it-IT"/>
        </w:rPr>
      </w:pPr>
      <w:r w:rsidRPr="007735EA">
        <w:rPr>
          <w:rFonts w:ascii="BrownPro" w:hAnsi="BrownPro" w:cs="Arial"/>
          <w:color w:val="000000" w:themeColor="text1"/>
          <w:lang w:val="it-IT"/>
        </w:rPr>
        <w:t>Misure per gli enti di formazione continua volte a garantire le norme igieniche e di comportamento definite dalla Confederazione a protezione dei partecipanti e dei formatori impegnati in attività di formazione in presenza.</w:t>
      </w:r>
    </w:p>
    <w:p w:rsidR="00DA6C05" w:rsidRPr="00D3738A" w:rsidRDefault="003A7E8B" w:rsidP="003A7E8B">
      <w:pPr>
        <w:rPr>
          <w:rFonts w:ascii="BrownPro" w:hAnsi="BrownPro" w:cs="Arial"/>
          <w:color w:val="000000" w:themeColor="text1"/>
          <w:sz w:val="22"/>
          <w:szCs w:val="22"/>
          <w:lang w:val="it-IT"/>
        </w:rPr>
      </w:pPr>
      <w:r w:rsidRPr="007735EA">
        <w:rPr>
          <w:rFonts w:ascii="BrownPro" w:hAnsi="BrownPro" w:cs="Arial"/>
          <w:color w:val="000000" w:themeColor="text1"/>
          <w:lang w:val="it-IT"/>
        </w:rPr>
        <w:br/>
      </w:r>
    </w:p>
    <w:p w:rsidR="003A7E8B" w:rsidRPr="00D3738A" w:rsidRDefault="007735EA" w:rsidP="00D3738A">
      <w:pPr>
        <w:pStyle w:val="Listenabsatz"/>
        <w:numPr>
          <w:ilvl w:val="0"/>
          <w:numId w:val="32"/>
        </w:numPr>
        <w:rPr>
          <w:rFonts w:ascii="BrownPro" w:hAnsi="BrownPro" w:cs="Arial"/>
          <w:color w:val="000000" w:themeColor="text1"/>
          <w:sz w:val="26"/>
          <w:szCs w:val="26"/>
          <w:lang w:val="it-IT"/>
        </w:rPr>
      </w:pPr>
      <w:r w:rsidRPr="00D3738A">
        <w:rPr>
          <w:rFonts w:ascii="BrownPro" w:hAnsi="BrownPro" w:cs="Arial"/>
          <w:color w:val="000000" w:themeColor="text1"/>
          <w:sz w:val="26"/>
          <w:szCs w:val="26"/>
          <w:lang w:val="it-IT"/>
        </w:rPr>
        <w:t xml:space="preserve">Misure per garantire il rispetto delle direttive UFSP in materia di </w:t>
      </w:r>
      <w:r w:rsidRPr="00D3738A">
        <w:rPr>
          <w:rFonts w:ascii="BrownPro" w:hAnsi="BrownPro" w:cs="Arial"/>
          <w:b/>
          <w:bCs/>
          <w:color w:val="000000" w:themeColor="text1"/>
          <w:sz w:val="26"/>
          <w:szCs w:val="26"/>
          <w:lang w:val="it-IT"/>
        </w:rPr>
        <w:t>distanza sociale</w:t>
      </w:r>
      <w:r w:rsidR="003A7E8B" w:rsidRPr="00D3738A">
        <w:rPr>
          <w:rFonts w:ascii="BrownPro" w:hAnsi="BrownPro" w:cs="Arial"/>
          <w:color w:val="000000" w:themeColor="text1"/>
          <w:sz w:val="26"/>
          <w:szCs w:val="26"/>
          <w:lang w:val="it-IT"/>
        </w:rPr>
        <w:t xml:space="preserve">: </w:t>
      </w:r>
    </w:p>
    <w:p w:rsidR="003A7E8B" w:rsidRPr="007735EA" w:rsidRDefault="003A7E8B" w:rsidP="003A7E8B">
      <w:pPr>
        <w:ind w:left="708"/>
        <w:rPr>
          <w:rFonts w:ascii="BrownPro" w:hAnsi="BrownPro" w:cs="Arial"/>
          <w:color w:val="000000" w:themeColor="text1"/>
          <w:lang w:val="it-IT"/>
        </w:rPr>
      </w:pPr>
    </w:p>
    <w:tbl>
      <w:tblPr>
        <w:tblStyle w:val="Tabellenraster"/>
        <w:tblW w:w="0" w:type="auto"/>
        <w:tblInd w:w="-5" w:type="dxa"/>
        <w:tblLook w:val="04A0" w:firstRow="1" w:lastRow="0" w:firstColumn="1" w:lastColumn="0" w:noHBand="0" w:noVBand="1"/>
      </w:tblPr>
      <w:tblGrid>
        <w:gridCol w:w="7331"/>
        <w:gridCol w:w="7236"/>
      </w:tblGrid>
      <w:tr w:rsidR="00DA6C05" w:rsidRPr="007735EA" w:rsidTr="00DA6C05">
        <w:tc>
          <w:tcPr>
            <w:tcW w:w="7371" w:type="dxa"/>
            <w:shd w:val="clear" w:color="auto" w:fill="D9D9D9" w:themeFill="background1" w:themeFillShade="D9"/>
          </w:tcPr>
          <w:p w:rsidR="00DA6C05" w:rsidRPr="007735EA" w:rsidRDefault="007735EA" w:rsidP="00DA6C05">
            <w:pPr>
              <w:spacing w:before="120" w:after="100"/>
              <w:rPr>
                <w:rFonts w:ascii="BrownPro" w:hAnsi="BrownPro" w:cs="Arial"/>
                <w:color w:val="000000" w:themeColor="text1"/>
                <w:sz w:val="22"/>
                <w:szCs w:val="22"/>
                <w:lang w:val="it-IT"/>
              </w:rPr>
            </w:pPr>
            <w:r>
              <w:rPr>
                <w:rFonts w:ascii="BrownPro" w:hAnsi="BrownPro" w:cs="Arial"/>
                <w:color w:val="000000" w:themeColor="text1"/>
                <w:sz w:val="22"/>
                <w:szCs w:val="22"/>
                <w:lang w:val="it-IT"/>
              </w:rPr>
              <w:t>Indicazioni concetto generale FSEA</w:t>
            </w:r>
          </w:p>
        </w:tc>
        <w:tc>
          <w:tcPr>
            <w:tcW w:w="7371" w:type="dxa"/>
            <w:shd w:val="clear" w:color="auto" w:fill="D9D9D9" w:themeFill="background1" w:themeFillShade="D9"/>
          </w:tcPr>
          <w:p w:rsidR="00DA6C05" w:rsidRPr="007735EA" w:rsidRDefault="007735EA" w:rsidP="00DA6C05">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Misure</w:t>
            </w:r>
            <w:r w:rsidR="00DA6C05" w:rsidRPr="007735EA">
              <w:rPr>
                <w:rFonts w:ascii="BrownPro" w:hAnsi="BrownPro" w:cs="Arial"/>
                <w:color w:val="000000" w:themeColor="text1"/>
                <w:sz w:val="22"/>
                <w:szCs w:val="22"/>
                <w:lang w:val="it-IT"/>
              </w:rPr>
              <w:t xml:space="preserve"> </w:t>
            </w:r>
          </w:p>
        </w:tc>
      </w:tr>
      <w:tr w:rsidR="00DA6C05" w:rsidRPr="007735EA" w:rsidTr="00CB50DD">
        <w:tc>
          <w:tcPr>
            <w:tcW w:w="7371" w:type="dxa"/>
          </w:tcPr>
          <w:p w:rsidR="00DA6C05" w:rsidRPr="007735EA" w:rsidRDefault="007735EA" w:rsidP="007735EA">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Nelle aule e nelle aree di studio, come pure nei locali pausa, nelle aree ricreative e nelle zone di passaggio i posti a sedere dovranno essere disposti in modo tale che i partecipanti possano mantenere una distanza di 2 metri tra loro e con i formatori</w:t>
            </w:r>
            <w:r>
              <w:rPr>
                <w:rFonts w:ascii="BrownPro" w:hAnsi="BrownPro" w:cs="Arial"/>
                <w:color w:val="000000" w:themeColor="text1"/>
                <w:sz w:val="22"/>
                <w:szCs w:val="22"/>
                <w:lang w:val="it-IT"/>
              </w:rPr>
              <w:t>.</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7735EA"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Il numero di partecipanti sarà ridotto in base allo spazio disponibile nelle aule e nelle aree di studio, in modo che sia possibile rispettare le regole sulla distanza</w:t>
            </w:r>
            <w:r w:rsidR="00DA6C05" w:rsidRPr="007735EA">
              <w:rPr>
                <w:rFonts w:ascii="BrownPro" w:hAnsi="BrownPro" w:cs="Arial"/>
                <w:color w:val="000000" w:themeColor="text1"/>
                <w:sz w:val="22"/>
                <w:szCs w:val="22"/>
                <w:lang w:val="it-IT"/>
              </w:rPr>
              <w:t>.</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7735EA"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La struttura della lezione (in particolare la scelta dei metodi) sarà adattata in modo da poter rispettare le regole di distanziamento</w:t>
            </w:r>
            <w:r w:rsidR="00DA6C05" w:rsidRPr="007735EA">
              <w:rPr>
                <w:rFonts w:ascii="BrownPro" w:hAnsi="BrownPro" w:cs="Arial"/>
                <w:color w:val="000000" w:themeColor="text1"/>
                <w:sz w:val="22"/>
                <w:szCs w:val="22"/>
                <w:lang w:val="it-IT"/>
              </w:rPr>
              <w:t>.</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204806"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lastRenderedPageBreak/>
              <w:t>Le pause dovranno essere scaglionate a seconda delle esigenze, in modo che le regole sulla distanza possano essere rispettate anche nei locali pausa, negli spazi ricreativi, come pure per l’accesso ai bagni</w:t>
            </w:r>
            <w:r w:rsidR="00DA6C05" w:rsidRPr="007735EA">
              <w:rPr>
                <w:rFonts w:ascii="BrownPro" w:hAnsi="BrownPro" w:cs="Arial"/>
                <w:color w:val="000000" w:themeColor="text1"/>
                <w:sz w:val="22"/>
                <w:szCs w:val="22"/>
                <w:lang w:val="it-IT"/>
              </w:rPr>
              <w:t xml:space="preserve">. </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204806"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Sul pavimento saranno applicati dei segni per il posizionamento dei banchi affinché si possa garantire e mantenere la distanza di almeno 2 metri. Dove possibile dovranno essere installati pannelli in plexiglas o altri divisori tra i banchi</w:t>
            </w:r>
            <w:r w:rsidR="00DA6C05" w:rsidRPr="007735EA">
              <w:rPr>
                <w:rFonts w:ascii="BrownPro" w:hAnsi="BrownPro" w:cs="Arial"/>
                <w:color w:val="000000" w:themeColor="text1"/>
                <w:sz w:val="22"/>
                <w:szCs w:val="22"/>
                <w:lang w:val="it-IT"/>
              </w:rPr>
              <w:t>.</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204806"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Anche nelle aree adibite alla ristorazione è necessario rispettare le regole di distanziamento. Si faccia riferimento al piano di protezione per il settore della ristorazione, che GastroSuisse pubblicherà (https://www.gastrosuisse.ch/it/concetto-settoriale/diritti-leggi/schede-informative/)</w:t>
            </w:r>
            <w:r>
              <w:rPr>
                <w:rFonts w:ascii="BrownPro" w:hAnsi="BrownPro" w:cs="Arial"/>
                <w:color w:val="000000" w:themeColor="text1"/>
                <w:sz w:val="22"/>
                <w:szCs w:val="22"/>
                <w:lang w:val="it-IT"/>
              </w:rPr>
              <w:t>.</w:t>
            </w:r>
            <w:r w:rsidR="00DA6C05" w:rsidRPr="007735EA">
              <w:rPr>
                <w:rFonts w:ascii="BrownPro" w:hAnsi="BrownPro" w:cs="Arial"/>
                <w:color w:val="000000" w:themeColor="text1"/>
                <w:sz w:val="22"/>
                <w:szCs w:val="22"/>
                <w:lang w:val="it-IT"/>
              </w:rPr>
              <w:t xml:space="preserve"> </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7735EA" w:rsidRDefault="00204806" w:rsidP="00DA6C05">
            <w:pPr>
              <w:pStyle w:val="Listenabsatz"/>
              <w:numPr>
                <w:ilvl w:val="0"/>
                <w:numId w:val="21"/>
              </w:numPr>
              <w:spacing w:before="120" w:after="10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Le regole sulla distanza sono applicate anche per le escursioni all’aperto</w:t>
            </w:r>
            <w:r w:rsidR="00DA6C05" w:rsidRPr="007735EA">
              <w:rPr>
                <w:rFonts w:ascii="BrownPro" w:hAnsi="BrownPro" w:cs="Arial"/>
                <w:color w:val="000000" w:themeColor="text1"/>
                <w:sz w:val="22"/>
                <w:szCs w:val="22"/>
                <w:lang w:val="it-IT"/>
              </w:rPr>
              <w:t xml:space="preserve">. </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r w:rsidR="00DA6C05" w:rsidRPr="007735EA" w:rsidTr="00CB50DD">
        <w:tc>
          <w:tcPr>
            <w:tcW w:w="7371" w:type="dxa"/>
          </w:tcPr>
          <w:p w:rsidR="00DA6C05" w:rsidRPr="00204806" w:rsidRDefault="00204806" w:rsidP="00204806">
            <w:pPr>
              <w:pStyle w:val="Listenabsatz"/>
              <w:numPr>
                <w:ilvl w:val="0"/>
                <w:numId w:val="21"/>
              </w:numPr>
              <w:spacing w:before="12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Dove possibile, si evitino le attività ad alto rischio di trasmissione, ad esempio quelle con stretti contatti interpersonali o con molte di persone, come consegne dei diplomi, ecc</w:t>
            </w:r>
            <w:r w:rsidR="00DA6C05" w:rsidRPr="00204806">
              <w:rPr>
                <w:rFonts w:ascii="BrownPro" w:hAnsi="BrownPro" w:cs="Arial"/>
                <w:color w:val="000000" w:themeColor="text1"/>
                <w:sz w:val="22"/>
                <w:szCs w:val="22"/>
                <w:lang w:val="it-IT"/>
              </w:rPr>
              <w:t>.</w:t>
            </w:r>
          </w:p>
        </w:tc>
        <w:tc>
          <w:tcPr>
            <w:tcW w:w="7371" w:type="dxa"/>
          </w:tcPr>
          <w:p w:rsidR="00DA6C05" w:rsidRPr="007735EA" w:rsidRDefault="00DA6C05" w:rsidP="00DA6C05">
            <w:pPr>
              <w:pStyle w:val="Listenabsatz"/>
              <w:numPr>
                <w:ilvl w:val="0"/>
                <w:numId w:val="21"/>
              </w:numPr>
              <w:spacing w:before="120" w:after="120"/>
              <w:ind w:left="714" w:hanging="357"/>
              <w:contextualSpacing w:val="0"/>
              <w:rPr>
                <w:rFonts w:ascii="BrownPro" w:hAnsi="BrownPro" w:cs="Arial"/>
                <w:color w:val="000000" w:themeColor="text1"/>
                <w:sz w:val="22"/>
                <w:szCs w:val="22"/>
                <w:lang w:val="it-IT"/>
              </w:rPr>
            </w:pPr>
          </w:p>
        </w:tc>
      </w:tr>
    </w:tbl>
    <w:p w:rsidR="00401606" w:rsidRPr="007735EA" w:rsidRDefault="00401606" w:rsidP="00DD07A5">
      <w:pPr>
        <w:pStyle w:val="Listenabsatz"/>
        <w:spacing w:before="120"/>
        <w:ind w:left="714"/>
        <w:contextualSpacing w:val="0"/>
        <w:rPr>
          <w:rFonts w:ascii="BrownPro" w:hAnsi="BrownPro" w:cs="Arial"/>
          <w:color w:val="000000" w:themeColor="text1"/>
          <w:sz w:val="22"/>
          <w:szCs w:val="22"/>
          <w:lang w:val="it-IT"/>
        </w:rPr>
      </w:pPr>
    </w:p>
    <w:p w:rsidR="003A7E8B" w:rsidRPr="007735EA" w:rsidRDefault="00D3738A" w:rsidP="003A7E8B">
      <w:pPr>
        <w:spacing w:before="120"/>
        <w:rPr>
          <w:rFonts w:ascii="BrownPro" w:hAnsi="BrownPro" w:cs="Arial"/>
          <w:color w:val="000000" w:themeColor="text1"/>
          <w:sz w:val="22"/>
          <w:szCs w:val="22"/>
          <w:lang w:val="it-IT"/>
        </w:rPr>
      </w:pPr>
      <w:r w:rsidRPr="00D3738A">
        <w:rPr>
          <w:rFonts w:ascii="BrownPro" w:hAnsi="BrownPro" w:cs="Arial"/>
          <w:color w:val="000000" w:themeColor="text1"/>
          <w:sz w:val="22"/>
          <w:szCs w:val="22"/>
          <w:lang w:val="it-IT"/>
        </w:rPr>
        <w:t>Disposizioni speciali per le offerte di formazione continua in cui il contatto fisico è inevitabile:</w:t>
      </w:r>
      <w:r w:rsidR="00DA6C05" w:rsidRPr="007735EA">
        <w:rPr>
          <w:rFonts w:ascii="BrownPro" w:hAnsi="BrownPro" w:cs="Arial"/>
          <w:color w:val="000000" w:themeColor="text1"/>
          <w:sz w:val="22"/>
          <w:szCs w:val="22"/>
          <w:lang w:val="it-IT"/>
        </w:rPr>
        <w:br/>
      </w:r>
    </w:p>
    <w:tbl>
      <w:tblPr>
        <w:tblStyle w:val="Tabellenraster"/>
        <w:tblW w:w="0" w:type="auto"/>
        <w:tblInd w:w="-5" w:type="dxa"/>
        <w:tblLook w:val="04A0" w:firstRow="1" w:lastRow="0" w:firstColumn="1" w:lastColumn="0" w:noHBand="0" w:noVBand="1"/>
      </w:tblPr>
      <w:tblGrid>
        <w:gridCol w:w="7371"/>
        <w:gridCol w:w="7196"/>
      </w:tblGrid>
      <w:tr w:rsidR="00DA6C05" w:rsidRPr="007735EA" w:rsidTr="00D3738A">
        <w:tc>
          <w:tcPr>
            <w:tcW w:w="7371" w:type="dxa"/>
          </w:tcPr>
          <w:p w:rsidR="00DA6C05" w:rsidRPr="007735EA" w:rsidRDefault="00D3738A" w:rsidP="00371456">
            <w:pPr>
              <w:pStyle w:val="Listenabsatz"/>
              <w:numPr>
                <w:ilvl w:val="0"/>
                <w:numId w:val="21"/>
              </w:numPr>
              <w:spacing w:before="12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L’utilizzo delle mascherine protettive per i partecipanti e per i formatori è obbligatorio</w:t>
            </w:r>
            <w:r w:rsidR="00DA6C05" w:rsidRPr="007735EA">
              <w:rPr>
                <w:rFonts w:ascii="BrownPro" w:hAnsi="BrownPro" w:cs="Arial"/>
                <w:color w:val="000000" w:themeColor="text1"/>
                <w:sz w:val="22"/>
                <w:szCs w:val="22"/>
                <w:lang w:val="it-IT"/>
              </w:rPr>
              <w:t>.</w:t>
            </w:r>
          </w:p>
        </w:tc>
        <w:tc>
          <w:tcPr>
            <w:tcW w:w="7196" w:type="dxa"/>
          </w:tcPr>
          <w:p w:rsidR="00DA6C05" w:rsidRPr="007735EA" w:rsidRDefault="00DA6C05" w:rsidP="00371456">
            <w:pPr>
              <w:pStyle w:val="Listenabsatz"/>
              <w:numPr>
                <w:ilvl w:val="0"/>
                <w:numId w:val="21"/>
              </w:numPr>
              <w:spacing w:before="120"/>
              <w:rPr>
                <w:rFonts w:ascii="BrownPro" w:hAnsi="BrownPro" w:cs="Arial"/>
                <w:color w:val="000000" w:themeColor="text1"/>
                <w:sz w:val="22"/>
                <w:szCs w:val="22"/>
                <w:lang w:val="it-IT"/>
              </w:rPr>
            </w:pPr>
          </w:p>
        </w:tc>
      </w:tr>
    </w:tbl>
    <w:p w:rsidR="00D3738A" w:rsidRDefault="00D3738A" w:rsidP="00DA6C05">
      <w:pPr>
        <w:rPr>
          <w:rFonts w:ascii="BrownPro" w:hAnsi="BrownPro" w:cs="Arial"/>
          <w:color w:val="000000" w:themeColor="text1"/>
          <w:sz w:val="22"/>
          <w:szCs w:val="22"/>
          <w:lang w:val="it-IT"/>
        </w:rPr>
      </w:pPr>
    </w:p>
    <w:p w:rsidR="00D3738A" w:rsidRDefault="00D3738A" w:rsidP="00DA6C05">
      <w:pPr>
        <w:rPr>
          <w:rFonts w:ascii="BrownPro" w:hAnsi="BrownPro" w:cs="Arial"/>
          <w:color w:val="000000" w:themeColor="text1"/>
          <w:sz w:val="22"/>
          <w:szCs w:val="22"/>
          <w:lang w:val="it-IT"/>
        </w:rPr>
      </w:pPr>
    </w:p>
    <w:p w:rsidR="003A7E8B" w:rsidRPr="007735EA" w:rsidRDefault="00D3738A" w:rsidP="00DA6C05">
      <w:pPr>
        <w:rPr>
          <w:rFonts w:ascii="BrownPro" w:hAnsi="BrownPro" w:cs="Arial"/>
          <w:color w:val="000000" w:themeColor="text1"/>
          <w:sz w:val="22"/>
          <w:szCs w:val="22"/>
          <w:lang w:val="it-IT"/>
        </w:rPr>
      </w:pPr>
      <w:r w:rsidRPr="00D3738A">
        <w:rPr>
          <w:rFonts w:ascii="BrownPro" w:hAnsi="BrownPro" w:cs="Arial"/>
          <w:color w:val="000000" w:themeColor="text1"/>
          <w:sz w:val="22"/>
          <w:szCs w:val="22"/>
          <w:lang w:val="it-IT"/>
        </w:rPr>
        <w:lastRenderedPageBreak/>
        <w:t xml:space="preserve">Eventuali ulteriori misure per </w:t>
      </w:r>
      <w:r>
        <w:rPr>
          <w:rFonts w:ascii="BrownPro" w:hAnsi="BrownPro" w:cs="Arial"/>
          <w:color w:val="000000" w:themeColor="text1"/>
          <w:sz w:val="22"/>
          <w:szCs w:val="22"/>
          <w:lang w:val="it-IT"/>
        </w:rPr>
        <w:t>rispettare</w:t>
      </w:r>
      <w:r w:rsidRPr="00D3738A">
        <w:rPr>
          <w:rFonts w:ascii="BrownPro" w:hAnsi="BrownPro" w:cs="Arial"/>
          <w:color w:val="000000" w:themeColor="text1"/>
          <w:sz w:val="22"/>
          <w:szCs w:val="22"/>
          <w:lang w:val="it-IT"/>
        </w:rPr>
        <w:t xml:space="preserve"> la distanza sociale:</w:t>
      </w:r>
    </w:p>
    <w:p w:rsidR="00DA6C05" w:rsidRPr="007735EA" w:rsidRDefault="00DA6C05" w:rsidP="00DA6C05">
      <w:pPr>
        <w:rPr>
          <w:rFonts w:ascii="BrownPro" w:hAnsi="BrownPro" w:cs="Arial"/>
          <w:color w:val="000000" w:themeColor="text1"/>
          <w:sz w:val="22"/>
          <w:szCs w:val="22"/>
          <w:lang w:val="it-I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7735EA" w:rsidTr="00BA6413">
        <w:trPr>
          <w:trHeight w:val="490"/>
        </w:trPr>
        <w:tc>
          <w:tcPr>
            <w:tcW w:w="14884" w:type="dxa"/>
          </w:tcPr>
          <w:p w:rsidR="00BA6413" w:rsidRPr="007735EA" w:rsidRDefault="00BA6413" w:rsidP="003A7E8B">
            <w:pPr>
              <w:rPr>
                <w:rFonts w:ascii="BrownPro" w:hAnsi="BrownPro" w:cs="Arial"/>
                <w:color w:val="000000" w:themeColor="text1"/>
                <w:sz w:val="22"/>
                <w:szCs w:val="22"/>
                <w:lang w:val="it-IT"/>
              </w:rPr>
            </w:pPr>
          </w:p>
          <w:p w:rsidR="00BA6413" w:rsidRPr="007735EA" w:rsidRDefault="00BA6413" w:rsidP="003A7E8B">
            <w:pPr>
              <w:rPr>
                <w:rFonts w:ascii="BrownPro" w:hAnsi="BrownPro" w:cs="Arial"/>
                <w:color w:val="000000" w:themeColor="text1"/>
                <w:sz w:val="22"/>
                <w:szCs w:val="22"/>
                <w:lang w:val="it-IT"/>
              </w:rPr>
            </w:pPr>
          </w:p>
          <w:p w:rsidR="00BA6413" w:rsidRPr="007735EA" w:rsidRDefault="00BA6413" w:rsidP="003A7E8B">
            <w:pPr>
              <w:rPr>
                <w:rFonts w:ascii="BrownPro" w:hAnsi="BrownPro" w:cs="Arial"/>
                <w:color w:val="000000" w:themeColor="text1"/>
                <w:sz w:val="22"/>
                <w:szCs w:val="22"/>
                <w:lang w:val="it-IT"/>
              </w:rPr>
            </w:pPr>
          </w:p>
          <w:p w:rsidR="00BA6413" w:rsidRPr="007735EA" w:rsidRDefault="00BA6413" w:rsidP="003A7E8B">
            <w:pPr>
              <w:rPr>
                <w:rFonts w:ascii="BrownPro" w:hAnsi="BrownPro" w:cs="Arial"/>
                <w:color w:val="000000" w:themeColor="text1"/>
                <w:sz w:val="22"/>
                <w:szCs w:val="22"/>
                <w:lang w:val="it-IT"/>
              </w:rPr>
            </w:pPr>
          </w:p>
        </w:tc>
      </w:tr>
    </w:tbl>
    <w:p w:rsidR="00DA6C05" w:rsidRDefault="00DA6C05" w:rsidP="00BA6413">
      <w:pPr>
        <w:rPr>
          <w:rFonts w:ascii="BrownPro" w:hAnsi="BrownPro" w:cs="Arial"/>
          <w:color w:val="000000" w:themeColor="text1"/>
          <w:sz w:val="22"/>
          <w:szCs w:val="22"/>
          <w:lang w:val="it-IT"/>
        </w:rPr>
      </w:pPr>
    </w:p>
    <w:p w:rsidR="00D3738A" w:rsidRPr="007735EA" w:rsidRDefault="00D3738A" w:rsidP="00BA6413">
      <w:pPr>
        <w:rPr>
          <w:rFonts w:ascii="BrownPro" w:hAnsi="BrownPro" w:cs="Arial"/>
          <w:color w:val="000000" w:themeColor="text1"/>
          <w:sz w:val="22"/>
          <w:szCs w:val="22"/>
          <w:lang w:val="it-IT"/>
        </w:rPr>
      </w:pPr>
    </w:p>
    <w:p w:rsidR="00D07C4C" w:rsidRPr="00D3738A" w:rsidRDefault="00D3738A" w:rsidP="00D3738A">
      <w:pPr>
        <w:pStyle w:val="Listenabsatz"/>
        <w:numPr>
          <w:ilvl w:val="0"/>
          <w:numId w:val="32"/>
        </w:numPr>
        <w:rPr>
          <w:rFonts w:ascii="BrownPro" w:hAnsi="BrownPro" w:cs="Arial"/>
          <w:color w:val="000000" w:themeColor="text1"/>
          <w:sz w:val="26"/>
          <w:szCs w:val="26"/>
          <w:lang w:val="it-IT"/>
        </w:rPr>
      </w:pPr>
      <w:r w:rsidRPr="00D3738A">
        <w:rPr>
          <w:rFonts w:ascii="BrownPro" w:hAnsi="BrownPro" w:cs="Arial"/>
          <w:color w:val="000000" w:themeColor="text1"/>
          <w:sz w:val="26"/>
          <w:szCs w:val="26"/>
          <w:lang w:val="it-IT"/>
        </w:rPr>
        <w:t>Misure per garantire il rispetto delle direttive UFSP in materia d’igiene.</w:t>
      </w:r>
    </w:p>
    <w:p w:rsidR="00D3738A" w:rsidRPr="007735EA" w:rsidRDefault="00D3738A" w:rsidP="00D07C4C">
      <w:pPr>
        <w:rPr>
          <w:rFonts w:ascii="BrownPro" w:hAnsi="BrownPro" w:cs="Arial"/>
          <w:color w:val="000000" w:themeColor="text1"/>
          <w:sz w:val="22"/>
          <w:szCs w:val="22"/>
          <w:lang w:val="it-IT"/>
        </w:rPr>
      </w:pPr>
    </w:p>
    <w:tbl>
      <w:tblPr>
        <w:tblStyle w:val="Tabellenraster"/>
        <w:tblW w:w="0" w:type="auto"/>
        <w:tblInd w:w="-5" w:type="dxa"/>
        <w:tblLook w:val="04A0" w:firstRow="1" w:lastRow="0" w:firstColumn="1" w:lastColumn="0" w:noHBand="0" w:noVBand="1"/>
      </w:tblPr>
      <w:tblGrid>
        <w:gridCol w:w="7115"/>
        <w:gridCol w:w="7452"/>
      </w:tblGrid>
      <w:tr w:rsidR="00BA6413" w:rsidRPr="007735EA" w:rsidTr="00BA6413">
        <w:tc>
          <w:tcPr>
            <w:tcW w:w="7230"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Indicazioni concetto generale FSEA</w:t>
            </w:r>
          </w:p>
        </w:tc>
        <w:tc>
          <w:tcPr>
            <w:tcW w:w="7614"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Misure</w:t>
            </w:r>
            <w:r w:rsidR="00BA6413" w:rsidRPr="007735EA">
              <w:rPr>
                <w:rFonts w:ascii="BrownPro" w:hAnsi="BrownPro" w:cs="Arial"/>
                <w:color w:val="000000" w:themeColor="text1"/>
                <w:sz w:val="22"/>
                <w:szCs w:val="22"/>
                <w:lang w:val="it-IT"/>
              </w:rPr>
              <w:t xml:space="preserve"> </w:t>
            </w:r>
          </w:p>
        </w:tc>
      </w:tr>
      <w:tr w:rsidR="00BA6413" w:rsidRPr="007735EA" w:rsidTr="00BA6413">
        <w:tc>
          <w:tcPr>
            <w:tcW w:w="7230" w:type="dxa"/>
          </w:tcPr>
          <w:p w:rsidR="00BA6413" w:rsidRPr="007735EA" w:rsidRDefault="00D3738A" w:rsidP="00BA6413">
            <w:pPr>
              <w:pStyle w:val="Listenabsatz"/>
              <w:numPr>
                <w:ilvl w:val="0"/>
                <w:numId w:val="22"/>
              </w:numPr>
              <w:spacing w:before="120" w:after="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All’ingresso come pure nelle aree ricreative, nei locali pausa e nelle aule sono da predisporre disinfettanti o la possibilità di lavarsi le mani</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Listenabsatz"/>
              <w:numPr>
                <w:ilvl w:val="0"/>
                <w:numId w:val="22"/>
              </w:numPr>
              <w:spacing w:before="120" w:after="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Tutti i locali dovranno essere ampiamente e regolarmente arieggiati. Nei locali in cui non è possibile aprire le finestre, la ventilazione viene regolata di conseguenza</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Listenabsatz"/>
              <w:numPr>
                <w:ilvl w:val="0"/>
                <w:numId w:val="22"/>
              </w:numPr>
              <w:spacing w:before="120" w:after="12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Tavoli, sedie, materiale dei corsi usati più volte (ad es. penne per lavagne a fogli mobili), maniglie delle porte, pulsanti degli ascensori, ringhiere delle scale, corrimani, macchine da caffè e altri oggetti che vengono spesso toccati da più persone devono essere puliti regolarmente e, se possibile, disinfettati</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ind w:left="714" w:hanging="357"/>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Listenabsatz"/>
              <w:numPr>
                <w:ilvl w:val="0"/>
                <w:numId w:val="22"/>
              </w:numPr>
              <w:spacing w:before="120" w:after="120"/>
              <w:ind w:left="714"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Si devono utilizzare asciugamani monouso, tazze monouso ecc</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ind w:left="714" w:hanging="357"/>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Listenabsatz"/>
              <w:numPr>
                <w:ilvl w:val="0"/>
                <w:numId w:val="22"/>
              </w:numPr>
              <w:spacing w:before="120" w:after="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Riviste ecc. devono essere rimosse dagli spazi comuni</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Listenabsatz"/>
              <w:numPr>
                <w:ilvl w:val="0"/>
                <w:numId w:val="22"/>
              </w:numPr>
              <w:spacing w:before="120" w:after="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lastRenderedPageBreak/>
              <w:t>Le mascherine protettive per i partecipanti devono essere tenute pronte per situazioni particolari. Non vi è tuttavia un obbligo da parte dell’istituzione di consegnarle</w:t>
            </w:r>
            <w:r w:rsidR="00BA6413" w:rsidRPr="007735EA">
              <w:rPr>
                <w:rFonts w:ascii="BrownPro" w:hAnsi="BrownPro" w:cs="Arial"/>
                <w:color w:val="000000" w:themeColor="text1"/>
                <w:sz w:val="22"/>
                <w:szCs w:val="22"/>
                <w:lang w:val="it-IT"/>
              </w:rPr>
              <w:t>.</w:t>
            </w:r>
          </w:p>
        </w:tc>
        <w:tc>
          <w:tcPr>
            <w:tcW w:w="7614" w:type="dxa"/>
          </w:tcPr>
          <w:p w:rsidR="00BA6413" w:rsidRPr="007735EA" w:rsidRDefault="00BA6413" w:rsidP="00BA6413">
            <w:pPr>
              <w:pStyle w:val="Listenabsatz"/>
              <w:numPr>
                <w:ilvl w:val="0"/>
                <w:numId w:val="22"/>
              </w:numPr>
              <w:spacing w:before="120" w:after="120"/>
              <w:contextualSpacing w:val="0"/>
              <w:rPr>
                <w:rFonts w:ascii="BrownPro" w:hAnsi="BrownPro" w:cs="Arial"/>
                <w:color w:val="000000" w:themeColor="text1"/>
                <w:sz w:val="22"/>
                <w:szCs w:val="22"/>
                <w:lang w:val="it-IT"/>
              </w:rPr>
            </w:pPr>
          </w:p>
        </w:tc>
      </w:tr>
      <w:tr w:rsidR="00BA6413" w:rsidRPr="007735EA" w:rsidTr="00D3738A">
        <w:tc>
          <w:tcPr>
            <w:tcW w:w="7230" w:type="dxa"/>
            <w:tcBorders>
              <w:bottom w:val="single" w:sz="4" w:space="0" w:color="auto"/>
            </w:tcBorders>
          </w:tcPr>
          <w:p w:rsidR="00BA6413" w:rsidRPr="007735EA" w:rsidRDefault="00D3738A" w:rsidP="00BA6413">
            <w:pPr>
              <w:pStyle w:val="Listenabsatz"/>
              <w:numPr>
                <w:ilvl w:val="0"/>
                <w:numId w:val="22"/>
              </w:numPr>
              <w:spacing w:before="120" w:after="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Gli spogliatoi e i guardaroba possono essere utilizzati nel rispetto delle norme igieniche e della distanza</w:t>
            </w:r>
            <w:r w:rsidR="00BA6413" w:rsidRPr="007735EA">
              <w:rPr>
                <w:rFonts w:ascii="BrownPro" w:hAnsi="BrownPro" w:cs="Arial"/>
                <w:sz w:val="22"/>
                <w:szCs w:val="22"/>
                <w:lang w:val="it-IT"/>
              </w:rPr>
              <w:t xml:space="preserve">. </w:t>
            </w:r>
          </w:p>
        </w:tc>
        <w:tc>
          <w:tcPr>
            <w:tcW w:w="7614" w:type="dxa"/>
            <w:tcBorders>
              <w:bottom w:val="single" w:sz="4" w:space="0" w:color="auto"/>
            </w:tcBorders>
          </w:tcPr>
          <w:p w:rsidR="00BA6413" w:rsidRPr="007735EA" w:rsidRDefault="00BA6413" w:rsidP="00BA6413">
            <w:pPr>
              <w:pStyle w:val="Listenabsatz"/>
              <w:numPr>
                <w:ilvl w:val="0"/>
                <w:numId w:val="22"/>
              </w:numPr>
              <w:spacing w:before="120" w:after="120"/>
              <w:contextualSpacing w:val="0"/>
              <w:rPr>
                <w:rFonts w:ascii="BrownPro" w:hAnsi="BrownPro" w:cs="Arial"/>
                <w:sz w:val="22"/>
                <w:szCs w:val="22"/>
                <w:lang w:val="it-IT"/>
              </w:rPr>
            </w:pPr>
          </w:p>
        </w:tc>
      </w:tr>
      <w:tr w:rsidR="00BA6413" w:rsidRPr="007735EA" w:rsidTr="00D3738A">
        <w:tc>
          <w:tcPr>
            <w:tcW w:w="7230" w:type="dxa"/>
            <w:tcBorders>
              <w:top w:val="single" w:sz="4" w:space="0" w:color="auto"/>
              <w:left w:val="single" w:sz="4" w:space="0" w:color="auto"/>
              <w:bottom w:val="single" w:sz="4" w:space="0" w:color="auto"/>
              <w:right w:val="nil"/>
            </w:tcBorders>
          </w:tcPr>
          <w:p w:rsidR="00BA6413" w:rsidRPr="007735EA" w:rsidRDefault="00BA6413" w:rsidP="00BA6413">
            <w:pPr>
              <w:spacing w:before="120" w:after="120"/>
              <w:rPr>
                <w:rFonts w:ascii="BrownPro" w:hAnsi="BrownPro" w:cs="Arial"/>
                <w:color w:val="000000" w:themeColor="text1"/>
                <w:sz w:val="22"/>
                <w:szCs w:val="22"/>
                <w:lang w:val="it-IT"/>
              </w:rPr>
            </w:pPr>
          </w:p>
        </w:tc>
        <w:tc>
          <w:tcPr>
            <w:tcW w:w="7614" w:type="dxa"/>
            <w:tcBorders>
              <w:top w:val="single" w:sz="4" w:space="0" w:color="auto"/>
              <w:left w:val="nil"/>
              <w:bottom w:val="single" w:sz="4" w:space="0" w:color="auto"/>
              <w:right w:val="single" w:sz="4" w:space="0" w:color="auto"/>
            </w:tcBorders>
          </w:tcPr>
          <w:p w:rsidR="00BA6413" w:rsidRPr="007735EA" w:rsidRDefault="00BA6413" w:rsidP="00BA6413">
            <w:pPr>
              <w:spacing w:before="120" w:after="120"/>
              <w:rPr>
                <w:rFonts w:ascii="BrownPro" w:hAnsi="BrownPro" w:cs="Arial"/>
                <w:color w:val="000000" w:themeColor="text1"/>
                <w:sz w:val="22"/>
                <w:szCs w:val="22"/>
                <w:lang w:val="it-IT"/>
              </w:rPr>
            </w:pPr>
          </w:p>
        </w:tc>
      </w:tr>
      <w:tr w:rsidR="00BA6413" w:rsidRPr="007735EA" w:rsidTr="00D3738A">
        <w:tc>
          <w:tcPr>
            <w:tcW w:w="7230" w:type="dxa"/>
            <w:tcBorders>
              <w:top w:val="single" w:sz="4" w:space="0" w:color="auto"/>
            </w:tcBorders>
          </w:tcPr>
          <w:p w:rsidR="00BA6413" w:rsidRPr="007735EA" w:rsidRDefault="00D3738A" w:rsidP="00BA6413">
            <w:pPr>
              <w:spacing w:before="120" w:after="12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Gli enti di formazione devono garantire che le misure per il rispetto delle norme sulla distanza e sull'igiene siano rispettate anche se il corso in presenza non si svolge nei propri locali (ad es. in hotel per seminari, nelle aziende, ecc.). Le misure sono attuate in collaborazione con il committente e con chi affitta i locali</w:t>
            </w:r>
            <w:r w:rsidR="00BA6413" w:rsidRPr="007735EA">
              <w:rPr>
                <w:rFonts w:ascii="BrownPro" w:hAnsi="BrownPro" w:cs="Arial"/>
                <w:color w:val="000000" w:themeColor="text1"/>
                <w:sz w:val="22"/>
                <w:szCs w:val="22"/>
                <w:lang w:val="it-IT"/>
              </w:rPr>
              <w:t>.</w:t>
            </w:r>
          </w:p>
        </w:tc>
        <w:tc>
          <w:tcPr>
            <w:tcW w:w="7614" w:type="dxa"/>
            <w:tcBorders>
              <w:top w:val="single" w:sz="4" w:space="0" w:color="auto"/>
            </w:tcBorders>
          </w:tcPr>
          <w:p w:rsidR="00BA6413" w:rsidRPr="007735EA" w:rsidRDefault="00BA6413" w:rsidP="00BA6413">
            <w:pPr>
              <w:pStyle w:val="Listenabsatz"/>
              <w:numPr>
                <w:ilvl w:val="0"/>
                <w:numId w:val="29"/>
              </w:numPr>
              <w:spacing w:before="120" w:after="120"/>
              <w:rPr>
                <w:rFonts w:ascii="BrownPro" w:hAnsi="BrownPro" w:cs="Arial"/>
                <w:color w:val="000000" w:themeColor="text1"/>
                <w:sz w:val="22"/>
                <w:szCs w:val="22"/>
                <w:lang w:val="it-IT"/>
              </w:rPr>
            </w:pPr>
          </w:p>
        </w:tc>
      </w:tr>
    </w:tbl>
    <w:p w:rsidR="00DA6C05" w:rsidRPr="007735EA" w:rsidRDefault="00DA6C05" w:rsidP="003A7E8B">
      <w:pPr>
        <w:rPr>
          <w:rFonts w:ascii="BrownPro" w:hAnsi="BrownPro" w:cs="Arial"/>
          <w:color w:val="000000" w:themeColor="text1"/>
          <w:sz w:val="22"/>
          <w:szCs w:val="22"/>
          <w:lang w:val="it-IT"/>
        </w:rPr>
      </w:pPr>
    </w:p>
    <w:p w:rsidR="00BA6413" w:rsidRPr="007735EA" w:rsidRDefault="00BA6413" w:rsidP="00BA6413">
      <w:pPr>
        <w:rPr>
          <w:rFonts w:ascii="BrownPro" w:hAnsi="BrownPro" w:cs="Arial"/>
          <w:color w:val="000000" w:themeColor="text1"/>
          <w:sz w:val="22"/>
          <w:szCs w:val="22"/>
          <w:lang w:val="it-IT"/>
        </w:rPr>
      </w:pPr>
    </w:p>
    <w:p w:rsidR="00BA6413" w:rsidRPr="007735EA" w:rsidRDefault="00D3738A" w:rsidP="00BA6413">
      <w:pPr>
        <w:rPr>
          <w:rFonts w:ascii="BrownPro" w:hAnsi="BrownPro" w:cs="Arial"/>
          <w:color w:val="000000" w:themeColor="text1"/>
          <w:sz w:val="22"/>
          <w:szCs w:val="22"/>
          <w:lang w:val="it-IT"/>
        </w:rPr>
      </w:pPr>
      <w:r w:rsidRPr="00D3738A">
        <w:rPr>
          <w:rFonts w:ascii="BrownPro" w:hAnsi="BrownPro" w:cs="Arial"/>
          <w:color w:val="000000" w:themeColor="text1"/>
          <w:sz w:val="22"/>
          <w:szCs w:val="22"/>
          <w:lang w:val="it-IT"/>
        </w:rPr>
        <w:t xml:space="preserve">Eventuali ulteriori misure per </w:t>
      </w:r>
      <w:r>
        <w:rPr>
          <w:rFonts w:ascii="BrownPro" w:hAnsi="BrownPro" w:cs="Arial"/>
          <w:color w:val="000000" w:themeColor="text1"/>
          <w:sz w:val="22"/>
          <w:szCs w:val="22"/>
          <w:lang w:val="it-IT"/>
        </w:rPr>
        <w:t>rispettare</w:t>
      </w:r>
      <w:r w:rsidRPr="00D3738A">
        <w:rPr>
          <w:rFonts w:ascii="BrownPro" w:hAnsi="BrownPro" w:cs="Arial"/>
          <w:color w:val="000000" w:themeColor="text1"/>
          <w:sz w:val="22"/>
          <w:szCs w:val="22"/>
          <w:lang w:val="it-IT"/>
        </w:rPr>
        <w:t xml:space="preserve"> </w:t>
      </w:r>
      <w:r>
        <w:rPr>
          <w:rFonts w:ascii="BrownPro" w:hAnsi="BrownPro" w:cs="Arial"/>
          <w:color w:val="000000" w:themeColor="text1"/>
          <w:sz w:val="22"/>
          <w:szCs w:val="22"/>
          <w:lang w:val="it-IT"/>
        </w:rPr>
        <w:t>le norme igieniche</w:t>
      </w:r>
      <w:r w:rsidR="00BA6413" w:rsidRPr="007735EA">
        <w:rPr>
          <w:rFonts w:ascii="BrownPro" w:hAnsi="BrownPro" w:cs="Arial"/>
          <w:color w:val="000000" w:themeColor="text1"/>
          <w:sz w:val="22"/>
          <w:szCs w:val="22"/>
          <w:lang w:val="it-IT"/>
        </w:rPr>
        <w:t>:</w:t>
      </w:r>
    </w:p>
    <w:p w:rsidR="00BA6413" w:rsidRPr="007735EA" w:rsidRDefault="00BA6413" w:rsidP="00BA6413">
      <w:pPr>
        <w:rPr>
          <w:rFonts w:ascii="BrownPro" w:hAnsi="BrownPro" w:cs="Arial"/>
          <w:color w:val="000000" w:themeColor="text1"/>
          <w:sz w:val="22"/>
          <w:szCs w:val="22"/>
          <w:lang w:val="it-I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7735EA" w:rsidTr="00F670D7">
        <w:trPr>
          <w:trHeight w:val="490"/>
        </w:trPr>
        <w:tc>
          <w:tcPr>
            <w:tcW w:w="14884" w:type="dxa"/>
          </w:tcPr>
          <w:p w:rsidR="00BA6413" w:rsidRPr="007735EA" w:rsidRDefault="00BA6413" w:rsidP="00F670D7">
            <w:pPr>
              <w:rPr>
                <w:rFonts w:ascii="BrownPro" w:hAnsi="BrownPro" w:cs="Arial"/>
                <w:color w:val="000000" w:themeColor="text1"/>
                <w:sz w:val="22"/>
                <w:szCs w:val="22"/>
                <w:lang w:val="it-IT"/>
              </w:rPr>
            </w:pPr>
          </w:p>
          <w:p w:rsidR="00B51AA8" w:rsidRPr="007735EA" w:rsidRDefault="00B51AA8" w:rsidP="00F670D7">
            <w:pPr>
              <w:rPr>
                <w:rFonts w:ascii="BrownPro" w:hAnsi="BrownPro" w:cs="Arial"/>
                <w:color w:val="000000" w:themeColor="text1"/>
                <w:sz w:val="22"/>
                <w:szCs w:val="22"/>
                <w:lang w:val="it-IT"/>
              </w:rPr>
            </w:pPr>
          </w:p>
          <w:p w:rsidR="00BA6413" w:rsidRPr="007735EA" w:rsidRDefault="00BA6413" w:rsidP="00F670D7">
            <w:pPr>
              <w:rPr>
                <w:rFonts w:ascii="BrownPro" w:hAnsi="BrownPro" w:cs="Arial"/>
                <w:color w:val="000000" w:themeColor="text1"/>
                <w:sz w:val="22"/>
                <w:szCs w:val="22"/>
                <w:lang w:val="it-IT"/>
              </w:rPr>
            </w:pPr>
          </w:p>
          <w:p w:rsidR="00BA6413" w:rsidRPr="007735EA" w:rsidRDefault="00BA6413" w:rsidP="00F670D7">
            <w:pPr>
              <w:rPr>
                <w:rFonts w:ascii="BrownPro" w:hAnsi="BrownPro" w:cs="Arial"/>
                <w:color w:val="000000" w:themeColor="text1"/>
                <w:sz w:val="22"/>
                <w:szCs w:val="22"/>
                <w:lang w:val="it-IT"/>
              </w:rPr>
            </w:pPr>
          </w:p>
        </w:tc>
      </w:tr>
    </w:tbl>
    <w:p w:rsidR="00DA6C05" w:rsidRPr="007735EA" w:rsidRDefault="00DA6C05"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Default="00D3738A" w:rsidP="003A7E8B">
      <w:pPr>
        <w:rPr>
          <w:rFonts w:ascii="BrownPro" w:hAnsi="BrownPro" w:cs="Arial"/>
          <w:color w:val="000000" w:themeColor="text1"/>
          <w:sz w:val="22"/>
          <w:szCs w:val="22"/>
          <w:lang w:val="it-IT"/>
        </w:rPr>
      </w:pPr>
    </w:p>
    <w:p w:rsidR="00D3738A" w:rsidRPr="007735EA" w:rsidRDefault="00D3738A" w:rsidP="003A7E8B">
      <w:pPr>
        <w:rPr>
          <w:rFonts w:ascii="BrownPro" w:hAnsi="BrownPro" w:cs="Arial"/>
          <w:color w:val="000000" w:themeColor="text1"/>
          <w:sz w:val="22"/>
          <w:szCs w:val="22"/>
          <w:lang w:val="it-IT"/>
        </w:rPr>
      </w:pPr>
    </w:p>
    <w:p w:rsidR="003A7E8B" w:rsidRPr="00D3738A" w:rsidRDefault="00D3738A" w:rsidP="00D3738A">
      <w:pPr>
        <w:pStyle w:val="Listenabsatz"/>
        <w:numPr>
          <w:ilvl w:val="0"/>
          <w:numId w:val="32"/>
        </w:numPr>
        <w:rPr>
          <w:rFonts w:ascii="BrownPro" w:hAnsi="BrownPro" w:cs="Arial"/>
          <w:color w:val="000000" w:themeColor="text1"/>
          <w:sz w:val="26"/>
          <w:szCs w:val="26"/>
          <w:lang w:val="it-IT"/>
        </w:rPr>
      </w:pPr>
      <w:r w:rsidRPr="00D3738A">
        <w:rPr>
          <w:rFonts w:ascii="BrownPro" w:hAnsi="BrownPro" w:cs="Arial"/>
          <w:color w:val="000000" w:themeColor="text1"/>
          <w:sz w:val="26"/>
          <w:szCs w:val="26"/>
          <w:lang w:val="it-IT"/>
        </w:rPr>
        <w:lastRenderedPageBreak/>
        <w:t>Misure per la protezione di persone particolarmente a rischio e per l'esclusione di persone malate o che si sentono male</w:t>
      </w:r>
    </w:p>
    <w:p w:rsidR="003A7E8B" w:rsidRPr="007735EA" w:rsidRDefault="003A7E8B" w:rsidP="003A7E8B">
      <w:pPr>
        <w:rPr>
          <w:rFonts w:ascii="BrownPro" w:hAnsi="BrownPro" w:cs="Arial"/>
          <w:color w:val="000000" w:themeColor="text1"/>
          <w:lang w:val="it-IT"/>
        </w:rPr>
      </w:pPr>
    </w:p>
    <w:tbl>
      <w:tblPr>
        <w:tblStyle w:val="Tabellenraster"/>
        <w:tblW w:w="0" w:type="auto"/>
        <w:tblInd w:w="-5" w:type="dxa"/>
        <w:tblLook w:val="04A0" w:firstRow="1" w:lastRow="0" w:firstColumn="1" w:lastColumn="0" w:noHBand="0" w:noVBand="1"/>
      </w:tblPr>
      <w:tblGrid>
        <w:gridCol w:w="7117"/>
        <w:gridCol w:w="7450"/>
      </w:tblGrid>
      <w:tr w:rsidR="00BA6413" w:rsidRPr="007735EA" w:rsidTr="00BA6413">
        <w:trPr>
          <w:trHeight w:val="415"/>
        </w:trPr>
        <w:tc>
          <w:tcPr>
            <w:tcW w:w="7230"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Indicazioni concetto generale FSEA</w:t>
            </w:r>
          </w:p>
        </w:tc>
        <w:tc>
          <w:tcPr>
            <w:tcW w:w="7614"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Misure</w:t>
            </w:r>
            <w:r w:rsidR="00BA6413" w:rsidRPr="007735EA">
              <w:rPr>
                <w:rFonts w:ascii="BrownPro" w:hAnsi="BrownPro" w:cs="Arial"/>
                <w:color w:val="000000" w:themeColor="text1"/>
                <w:sz w:val="22"/>
                <w:szCs w:val="22"/>
                <w:lang w:val="it-IT"/>
              </w:rPr>
              <w:t xml:space="preserve"> </w:t>
            </w:r>
          </w:p>
        </w:tc>
      </w:tr>
      <w:tr w:rsidR="00BA6413" w:rsidRPr="007735EA" w:rsidTr="00BA6413">
        <w:trPr>
          <w:trHeight w:val="2814"/>
        </w:trPr>
        <w:tc>
          <w:tcPr>
            <w:tcW w:w="7230" w:type="dxa"/>
          </w:tcPr>
          <w:p w:rsidR="00D3738A" w:rsidRPr="0042549F" w:rsidRDefault="00D3738A" w:rsidP="00D3738A">
            <w:pPr>
              <w:spacing w:before="12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Si richiama l'attenzione dei partecipanti alla formazione sul fatto che:</w:t>
            </w:r>
          </w:p>
          <w:p w:rsidR="00D3738A" w:rsidRPr="0042549F" w:rsidRDefault="00D3738A" w:rsidP="00D3738A">
            <w:pPr>
              <w:pStyle w:val="Listenabsatz"/>
              <w:numPr>
                <w:ilvl w:val="0"/>
                <w:numId w:val="34"/>
              </w:numPr>
              <w:spacing w:before="120"/>
              <w:contextualSpacing w:val="0"/>
              <w:rPr>
                <w:rFonts w:ascii="BrownPro" w:hAnsi="BrownPro" w:cs="Arial"/>
                <w:color w:val="000000" w:themeColor="text1"/>
                <w:sz w:val="22"/>
                <w:szCs w:val="22"/>
                <w:lang w:val="it-IT"/>
              </w:rPr>
            </w:pPr>
            <w:r w:rsidRPr="0042549F">
              <w:rPr>
                <w:rFonts w:ascii="BrownPro" w:hAnsi="BrownPro"/>
                <w:lang w:val="it-IT"/>
              </w:rPr>
              <w:t>Le persone che presentano anche solo un dei sintomi riconducibili al COVID-19 (si veda allegato 1) o che sono state a contatto con persone infette non possono partecipare alle attività di formazione in presenza</w:t>
            </w:r>
            <w:r w:rsidRPr="0042549F">
              <w:rPr>
                <w:rFonts w:ascii="BrownPro" w:hAnsi="BrownPro" w:cs="Arial"/>
                <w:color w:val="000000" w:themeColor="text1"/>
                <w:sz w:val="22"/>
                <w:szCs w:val="22"/>
                <w:lang w:val="it-IT"/>
              </w:rPr>
              <w:t xml:space="preserve">. </w:t>
            </w:r>
          </w:p>
          <w:p w:rsidR="00D3738A" w:rsidRPr="0042549F" w:rsidRDefault="00D3738A" w:rsidP="00D3738A">
            <w:pPr>
              <w:pStyle w:val="Listenabsatz"/>
              <w:numPr>
                <w:ilvl w:val="0"/>
                <w:numId w:val="34"/>
              </w:numPr>
              <w:spacing w:before="120"/>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I partecipanti che hanno contratto il Coronavirus, non possono partecipare a corsi di formazione continua per due settimane dopo che la malattia è stata superata.</w:t>
            </w:r>
          </w:p>
          <w:p w:rsidR="00BA6413" w:rsidRPr="00D3738A" w:rsidRDefault="00D3738A" w:rsidP="00D3738A">
            <w:pPr>
              <w:pStyle w:val="Listenabsatz"/>
              <w:numPr>
                <w:ilvl w:val="0"/>
                <w:numId w:val="34"/>
              </w:numPr>
              <w:spacing w:beforeLines="120" w:before="288"/>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Si raccomanda alle persone che soffrono di una malattia rilevante ai sensi dell'ordinanza COVID-19 (cfr. allegato 2) di astenersi dal partecipare ai corsi in presenza fino a nuovo avviso.</w:t>
            </w:r>
            <w:r w:rsidR="00BA6413" w:rsidRPr="00D3738A">
              <w:rPr>
                <w:rFonts w:ascii="BrownPro" w:hAnsi="BrownPro" w:cs="Arial"/>
                <w:color w:val="000000" w:themeColor="text1"/>
                <w:sz w:val="22"/>
                <w:szCs w:val="22"/>
                <w:lang w:val="it-IT"/>
              </w:rPr>
              <w:br/>
            </w:r>
          </w:p>
        </w:tc>
        <w:tc>
          <w:tcPr>
            <w:tcW w:w="7614"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r w:rsidR="00BA6413" w:rsidRPr="007735EA" w:rsidTr="00BA6413">
        <w:tc>
          <w:tcPr>
            <w:tcW w:w="7230" w:type="dxa"/>
          </w:tcPr>
          <w:p w:rsidR="00BA6413" w:rsidRPr="007735EA" w:rsidRDefault="00D3738A" w:rsidP="00BA6413">
            <w:pPr>
              <w:pStyle w:val="KeinLeerraum"/>
              <w:numPr>
                <w:ilvl w:val="0"/>
                <w:numId w:val="21"/>
              </w:numPr>
              <w:spacing w:before="120" w:after="120"/>
              <w:rPr>
                <w:rFonts w:ascii="BrownPro" w:hAnsi="BrownPro"/>
                <w:color w:val="000000" w:themeColor="text1"/>
                <w:lang w:val="it-IT" w:bidi="ar-SA"/>
              </w:rPr>
            </w:pPr>
            <w:r w:rsidRPr="0042549F">
              <w:rPr>
                <w:rFonts w:ascii="BrownPro" w:hAnsi="BrownPro"/>
                <w:color w:val="000000" w:themeColor="text1"/>
                <w:lang w:val="it-IT" w:bidi="ar-SA"/>
              </w:rPr>
              <w:t>Nel caso venissero rilevati frequenti casi di malattia in un istituto di formazione continua, questi dovrebbe adottare delle misure di “autoquarantena”. In questa situazione l’istituzione dovrebbe inoltre elaborare un concetto basato sulle direttive dei medici cantonali su come separare, l’uno dall’altro, i gruppi coinvolti, al fine di evitare che si verifichino ulteriori casi</w:t>
            </w:r>
            <w:r w:rsidR="00BA6413" w:rsidRPr="007735EA">
              <w:rPr>
                <w:rFonts w:ascii="BrownPro" w:hAnsi="BrownPro"/>
                <w:color w:val="000000" w:themeColor="text1"/>
                <w:lang w:val="it-IT" w:bidi="ar-SA"/>
              </w:rPr>
              <w:t xml:space="preserve">. </w:t>
            </w:r>
          </w:p>
        </w:tc>
        <w:tc>
          <w:tcPr>
            <w:tcW w:w="7614" w:type="dxa"/>
          </w:tcPr>
          <w:p w:rsidR="00BA6413" w:rsidRPr="007735EA" w:rsidRDefault="00BA6413" w:rsidP="00BA6413">
            <w:pPr>
              <w:pStyle w:val="KeinLeerraum"/>
              <w:numPr>
                <w:ilvl w:val="0"/>
                <w:numId w:val="21"/>
              </w:numPr>
              <w:spacing w:before="120" w:after="120"/>
              <w:rPr>
                <w:rFonts w:ascii="BrownPro" w:hAnsi="BrownPro"/>
                <w:color w:val="000000" w:themeColor="text1"/>
                <w:lang w:val="it-IT" w:bidi="ar-SA"/>
              </w:rPr>
            </w:pPr>
          </w:p>
        </w:tc>
      </w:tr>
      <w:tr w:rsidR="00BA6413" w:rsidRPr="007735EA" w:rsidTr="00BA6413">
        <w:tc>
          <w:tcPr>
            <w:tcW w:w="7230" w:type="dxa"/>
          </w:tcPr>
          <w:p w:rsidR="00BA6413" w:rsidRPr="00D3738A" w:rsidRDefault="00D3738A" w:rsidP="00D3738A">
            <w:pPr>
              <w:pStyle w:val="KeinLeerraum"/>
              <w:numPr>
                <w:ilvl w:val="0"/>
                <w:numId w:val="21"/>
              </w:numPr>
              <w:spacing w:before="120" w:after="120"/>
              <w:ind w:left="425" w:hanging="357"/>
              <w:rPr>
                <w:rFonts w:ascii="BrownPro" w:hAnsi="BrownPro"/>
                <w:color w:val="000000" w:themeColor="text1"/>
                <w:lang w:val="it-IT" w:bidi="ar-SA"/>
              </w:rPr>
            </w:pPr>
            <w:r w:rsidRPr="0042549F">
              <w:rPr>
                <w:rFonts w:ascii="BrownPro" w:hAnsi="BrownPro"/>
                <w:color w:val="000000" w:themeColor="text1"/>
                <w:lang w:val="it-IT" w:bidi="ar-SA"/>
              </w:rPr>
              <w:t xml:space="preserve">Tutti i dipendenti appartenenti a gruppi a rischio possono chiedere di essere esonerati dalle mansioni che comportano il </w:t>
            </w:r>
            <w:r w:rsidRPr="0042549F">
              <w:rPr>
                <w:rFonts w:ascii="BrownPro" w:hAnsi="BrownPro"/>
                <w:color w:val="000000" w:themeColor="text1"/>
                <w:lang w:val="it-IT" w:bidi="ar-SA"/>
              </w:rPr>
              <w:lastRenderedPageBreak/>
              <w:t>contatto con i partecipanti se presentano un certificato medico (cfr: COVID-19 ordinanza 2).</w:t>
            </w:r>
          </w:p>
        </w:tc>
        <w:tc>
          <w:tcPr>
            <w:tcW w:w="7614" w:type="dxa"/>
          </w:tcPr>
          <w:p w:rsidR="00BA6413" w:rsidRPr="007735EA" w:rsidRDefault="00BA6413" w:rsidP="00BA6413">
            <w:pPr>
              <w:pStyle w:val="KeinLeerraum"/>
              <w:numPr>
                <w:ilvl w:val="0"/>
                <w:numId w:val="21"/>
              </w:numPr>
              <w:spacing w:before="120" w:after="120"/>
              <w:rPr>
                <w:rFonts w:ascii="BrownPro" w:hAnsi="BrownPro"/>
                <w:color w:val="000000" w:themeColor="text1"/>
                <w:lang w:val="it-IT"/>
              </w:rPr>
            </w:pPr>
          </w:p>
        </w:tc>
      </w:tr>
      <w:tr w:rsidR="00BA6413" w:rsidRPr="007735EA" w:rsidTr="00BA6413">
        <w:tc>
          <w:tcPr>
            <w:tcW w:w="7230" w:type="dxa"/>
          </w:tcPr>
          <w:p w:rsidR="00BA6413" w:rsidRPr="00D3738A" w:rsidRDefault="00D3738A" w:rsidP="00D3738A">
            <w:pPr>
              <w:pStyle w:val="KeinLeerraum"/>
              <w:numPr>
                <w:ilvl w:val="0"/>
                <w:numId w:val="21"/>
              </w:numPr>
              <w:spacing w:before="120" w:after="120"/>
              <w:ind w:left="425" w:hanging="357"/>
              <w:rPr>
                <w:rFonts w:ascii="BrownPro" w:hAnsi="BrownPro"/>
                <w:color w:val="000000" w:themeColor="text1"/>
                <w:lang w:val="it-IT"/>
              </w:rPr>
            </w:pPr>
            <w:r w:rsidRPr="0042549F">
              <w:rPr>
                <w:rFonts w:ascii="BrownPro" w:hAnsi="BrownPro"/>
                <w:color w:val="000000" w:themeColor="text1"/>
                <w:lang w:val="it-IT" w:bidi="ar-SA"/>
              </w:rPr>
              <w:t>I formatori che hanno contratto il Coronavirus possono riprendere le attività che prevedono il contatto fisico con partecipanti e colleghi, non prima di 10 giorni dalla scomparsa della malattia.</w:t>
            </w:r>
          </w:p>
        </w:tc>
        <w:tc>
          <w:tcPr>
            <w:tcW w:w="7614" w:type="dxa"/>
          </w:tcPr>
          <w:p w:rsidR="00BA6413" w:rsidRPr="007735EA" w:rsidRDefault="00BA6413" w:rsidP="00BA6413">
            <w:pPr>
              <w:pStyle w:val="Listenabsatz"/>
              <w:numPr>
                <w:ilvl w:val="0"/>
                <w:numId w:val="21"/>
              </w:numPr>
              <w:spacing w:before="120" w:after="120"/>
              <w:rPr>
                <w:rFonts w:ascii="BrownPro" w:hAnsi="BrownPro" w:cs="Arial"/>
                <w:color w:val="000000" w:themeColor="text1"/>
                <w:sz w:val="22"/>
                <w:szCs w:val="22"/>
                <w:lang w:val="it-IT"/>
              </w:rPr>
            </w:pPr>
          </w:p>
        </w:tc>
      </w:tr>
    </w:tbl>
    <w:p w:rsidR="003A7E8B" w:rsidRPr="007735EA" w:rsidRDefault="003A7E8B" w:rsidP="003A7E8B">
      <w:pPr>
        <w:pStyle w:val="Listenabsatz"/>
        <w:rPr>
          <w:rFonts w:ascii="BrownPro" w:hAnsi="BrownPro" w:cs="Arial"/>
          <w:color w:val="000000" w:themeColor="text1"/>
          <w:sz w:val="22"/>
          <w:szCs w:val="22"/>
          <w:lang w:val="it-IT"/>
        </w:rPr>
      </w:pPr>
    </w:p>
    <w:p w:rsidR="00BA6413" w:rsidRPr="007735EA" w:rsidRDefault="00BA6413" w:rsidP="00BA6413">
      <w:pPr>
        <w:rPr>
          <w:rFonts w:ascii="BrownPro" w:hAnsi="BrownPro" w:cs="Arial"/>
          <w:color w:val="000000" w:themeColor="text1"/>
          <w:sz w:val="22"/>
          <w:szCs w:val="22"/>
          <w:lang w:val="it-IT"/>
        </w:rPr>
      </w:pPr>
    </w:p>
    <w:p w:rsidR="00BA6413" w:rsidRPr="007735EA" w:rsidRDefault="00D3738A" w:rsidP="00BA6413">
      <w:pPr>
        <w:rPr>
          <w:rFonts w:ascii="BrownPro" w:hAnsi="BrownPro" w:cs="Arial"/>
          <w:color w:val="000000" w:themeColor="text1"/>
          <w:sz w:val="22"/>
          <w:szCs w:val="22"/>
          <w:lang w:val="it-IT"/>
        </w:rPr>
      </w:pPr>
      <w:r w:rsidRPr="00D3738A">
        <w:rPr>
          <w:rFonts w:ascii="BrownPro" w:hAnsi="BrownPro" w:cs="Arial"/>
          <w:color w:val="000000" w:themeColor="text1"/>
          <w:sz w:val="22"/>
          <w:szCs w:val="22"/>
          <w:lang w:val="it-IT"/>
        </w:rPr>
        <w:t>Eventuali ulteriori misure per la protezione di persone particolarmente a rischio e per l'esclusione di persone malate o che si sentono male</w:t>
      </w:r>
    </w:p>
    <w:p w:rsidR="00BA6413" w:rsidRPr="007735EA" w:rsidRDefault="00BA6413" w:rsidP="00BA6413">
      <w:pPr>
        <w:rPr>
          <w:rFonts w:ascii="BrownPro" w:hAnsi="BrownPro" w:cs="Arial"/>
          <w:color w:val="000000" w:themeColor="text1"/>
          <w:sz w:val="22"/>
          <w:szCs w:val="22"/>
          <w:lang w:val="it-I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7735EA" w:rsidTr="00F670D7">
        <w:trPr>
          <w:trHeight w:val="490"/>
        </w:trPr>
        <w:tc>
          <w:tcPr>
            <w:tcW w:w="14884" w:type="dxa"/>
          </w:tcPr>
          <w:p w:rsidR="00BA6413" w:rsidRPr="007735EA" w:rsidRDefault="00BA6413" w:rsidP="00F670D7">
            <w:pPr>
              <w:rPr>
                <w:rFonts w:ascii="BrownPro" w:hAnsi="BrownPro" w:cs="Arial"/>
                <w:color w:val="000000" w:themeColor="text1"/>
                <w:sz w:val="22"/>
                <w:szCs w:val="22"/>
                <w:lang w:val="it-IT"/>
              </w:rPr>
            </w:pPr>
          </w:p>
          <w:p w:rsidR="00BA6413" w:rsidRPr="007735EA" w:rsidRDefault="00BA6413" w:rsidP="00F670D7">
            <w:pPr>
              <w:rPr>
                <w:rFonts w:ascii="BrownPro" w:hAnsi="BrownPro" w:cs="Arial"/>
                <w:color w:val="000000" w:themeColor="text1"/>
                <w:sz w:val="22"/>
                <w:szCs w:val="22"/>
                <w:lang w:val="it-IT"/>
              </w:rPr>
            </w:pPr>
          </w:p>
          <w:p w:rsidR="00BA6413" w:rsidRPr="007735EA" w:rsidRDefault="00BA6413" w:rsidP="00F670D7">
            <w:pPr>
              <w:rPr>
                <w:rFonts w:ascii="BrownPro" w:hAnsi="BrownPro" w:cs="Arial"/>
                <w:color w:val="000000" w:themeColor="text1"/>
                <w:sz w:val="22"/>
                <w:szCs w:val="22"/>
                <w:lang w:val="it-IT"/>
              </w:rPr>
            </w:pPr>
          </w:p>
          <w:p w:rsidR="00BA6413" w:rsidRPr="007735EA" w:rsidRDefault="00BA6413" w:rsidP="00F670D7">
            <w:pPr>
              <w:rPr>
                <w:rFonts w:ascii="BrownPro" w:hAnsi="BrownPro" w:cs="Arial"/>
                <w:color w:val="000000" w:themeColor="text1"/>
                <w:sz w:val="22"/>
                <w:szCs w:val="22"/>
                <w:lang w:val="it-IT"/>
              </w:rPr>
            </w:pPr>
          </w:p>
        </w:tc>
      </w:tr>
    </w:tbl>
    <w:p w:rsidR="00BA6413" w:rsidRPr="007735EA" w:rsidRDefault="00BA6413" w:rsidP="003A7E8B">
      <w:pPr>
        <w:rPr>
          <w:rFonts w:ascii="BrownPro" w:hAnsi="BrownPro" w:cs="Arial"/>
          <w:color w:val="000000" w:themeColor="text1"/>
          <w:sz w:val="22"/>
          <w:szCs w:val="22"/>
          <w:lang w:val="it-IT"/>
        </w:rPr>
      </w:pPr>
    </w:p>
    <w:p w:rsidR="00BA6413" w:rsidRPr="007735EA" w:rsidRDefault="00BA6413" w:rsidP="003A7E8B">
      <w:pPr>
        <w:rPr>
          <w:rFonts w:ascii="BrownPro" w:hAnsi="BrownPro" w:cs="Arial"/>
          <w:color w:val="000000" w:themeColor="text1"/>
          <w:sz w:val="22"/>
          <w:szCs w:val="22"/>
          <w:lang w:val="it-IT"/>
        </w:rPr>
      </w:pPr>
    </w:p>
    <w:p w:rsidR="00BA6413" w:rsidRPr="00D3738A" w:rsidRDefault="00D3738A" w:rsidP="00D3738A">
      <w:pPr>
        <w:pStyle w:val="Listenabsatz"/>
        <w:numPr>
          <w:ilvl w:val="0"/>
          <w:numId w:val="32"/>
        </w:numPr>
        <w:rPr>
          <w:rFonts w:ascii="BrownPro" w:hAnsi="BrownPro" w:cs="Arial"/>
          <w:color w:val="000000" w:themeColor="text1"/>
          <w:sz w:val="22"/>
          <w:szCs w:val="22"/>
          <w:lang w:val="it-IT"/>
        </w:rPr>
      </w:pPr>
      <w:r w:rsidRPr="00D3738A">
        <w:rPr>
          <w:rFonts w:ascii="BrownPro" w:hAnsi="BrownPro" w:cs="Arial"/>
          <w:color w:val="000000" w:themeColor="text1"/>
          <w:lang w:val="it-IT"/>
        </w:rPr>
        <w:t>Misure per l’informazione e il management</w:t>
      </w:r>
    </w:p>
    <w:p w:rsidR="003A7E8B" w:rsidRPr="007735EA" w:rsidRDefault="003A7E8B" w:rsidP="003A7E8B">
      <w:pPr>
        <w:rPr>
          <w:rFonts w:ascii="BrownPro" w:hAnsi="BrownPro" w:cs="Arial"/>
          <w:color w:val="000000" w:themeColor="text1"/>
          <w:sz w:val="22"/>
          <w:szCs w:val="22"/>
          <w:lang w:val="it-IT"/>
        </w:rPr>
      </w:pPr>
    </w:p>
    <w:tbl>
      <w:tblPr>
        <w:tblStyle w:val="Tabellenraster"/>
        <w:tblW w:w="0" w:type="auto"/>
        <w:tblInd w:w="-5" w:type="dxa"/>
        <w:tblLook w:val="04A0" w:firstRow="1" w:lastRow="0" w:firstColumn="1" w:lastColumn="0" w:noHBand="0" w:noVBand="1"/>
      </w:tblPr>
      <w:tblGrid>
        <w:gridCol w:w="7250"/>
        <w:gridCol w:w="7317"/>
      </w:tblGrid>
      <w:tr w:rsidR="00BA6413" w:rsidRPr="007735EA" w:rsidTr="00BA6413">
        <w:tc>
          <w:tcPr>
            <w:tcW w:w="7371"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Indicazioni concetto generale FSEA</w:t>
            </w:r>
          </w:p>
        </w:tc>
        <w:tc>
          <w:tcPr>
            <w:tcW w:w="7473" w:type="dxa"/>
            <w:shd w:val="clear" w:color="auto" w:fill="D9D9D9" w:themeFill="background1" w:themeFillShade="D9"/>
          </w:tcPr>
          <w:p w:rsidR="00BA6413" w:rsidRPr="007735EA" w:rsidRDefault="00D3738A" w:rsidP="00BA6413">
            <w:pPr>
              <w:spacing w:before="120" w:after="120"/>
              <w:rPr>
                <w:rFonts w:ascii="BrownPro" w:hAnsi="BrownPro" w:cs="Arial"/>
                <w:color w:val="000000" w:themeColor="text1"/>
                <w:sz w:val="22"/>
                <w:szCs w:val="22"/>
                <w:lang w:val="it-IT"/>
              </w:rPr>
            </w:pPr>
            <w:r>
              <w:rPr>
                <w:rFonts w:ascii="BrownPro" w:hAnsi="BrownPro" w:cs="Arial"/>
                <w:color w:val="000000" w:themeColor="text1"/>
                <w:sz w:val="22"/>
                <w:szCs w:val="22"/>
                <w:lang w:val="it-IT"/>
              </w:rPr>
              <w:t>Misure</w:t>
            </w:r>
            <w:r w:rsidR="00BA6413" w:rsidRPr="007735EA">
              <w:rPr>
                <w:rFonts w:ascii="BrownPro" w:hAnsi="BrownPro" w:cs="Arial"/>
                <w:color w:val="000000" w:themeColor="text1"/>
                <w:sz w:val="22"/>
                <w:szCs w:val="22"/>
                <w:lang w:val="it-IT"/>
              </w:rPr>
              <w:t xml:space="preserve"> </w:t>
            </w:r>
          </w:p>
        </w:tc>
      </w:tr>
      <w:tr w:rsidR="00BA6413" w:rsidRPr="007735EA" w:rsidTr="00BA6413">
        <w:tc>
          <w:tcPr>
            <w:tcW w:w="7371" w:type="dxa"/>
          </w:tcPr>
          <w:p w:rsidR="00BA6413" w:rsidRPr="007735EA" w:rsidRDefault="00D3738A"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All’ingresso, come pure all’interno delle aree ricreative, nei locali pausa, eccetera dovrà essere esposto, in maniera ben visibile, il materiale informativo sul distanziamento sociale e sulle norme igieniche realizzato dalla Confederazione</w:t>
            </w:r>
            <w:r w:rsidR="00BA6413" w:rsidRPr="007735EA">
              <w:rPr>
                <w:rFonts w:ascii="BrownPro" w:hAnsi="BrownPro" w:cs="Arial"/>
                <w:color w:val="000000" w:themeColor="text1"/>
                <w:sz w:val="22"/>
                <w:szCs w:val="22"/>
                <w:lang w:val="it-IT"/>
              </w:rPr>
              <w:t xml:space="preserve">. </w:t>
            </w:r>
          </w:p>
        </w:tc>
        <w:tc>
          <w:tcPr>
            <w:tcW w:w="7473"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r w:rsidR="00BA6413" w:rsidRPr="007735EA" w:rsidTr="00BA6413">
        <w:tc>
          <w:tcPr>
            <w:tcW w:w="7371" w:type="dxa"/>
          </w:tcPr>
          <w:p w:rsidR="00BA6413" w:rsidRPr="007735EA" w:rsidRDefault="00D3738A"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All'inizio del corso, i formatori illustrano le regole di distanza e di igiene in vigore, così come le modalità didattiche adottate</w:t>
            </w:r>
            <w:r w:rsidR="00BA6413" w:rsidRPr="007735EA">
              <w:rPr>
                <w:rFonts w:ascii="BrownPro" w:hAnsi="BrownPro" w:cs="Arial"/>
                <w:color w:val="000000" w:themeColor="text1"/>
                <w:sz w:val="22"/>
                <w:szCs w:val="22"/>
                <w:lang w:val="it-IT"/>
              </w:rPr>
              <w:t>.</w:t>
            </w:r>
          </w:p>
        </w:tc>
        <w:tc>
          <w:tcPr>
            <w:tcW w:w="7473"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r w:rsidR="00BA6413" w:rsidRPr="007735EA" w:rsidTr="00BA6413">
        <w:tc>
          <w:tcPr>
            <w:tcW w:w="7371" w:type="dxa"/>
          </w:tcPr>
          <w:p w:rsidR="00BA6413" w:rsidRPr="007735EA" w:rsidRDefault="00D3738A"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I collaboratori vengono regolarmente informati sulle misure adottate in relazione al piano di protezione</w:t>
            </w:r>
            <w:r w:rsidR="00BA6413" w:rsidRPr="007735EA">
              <w:rPr>
                <w:rFonts w:ascii="BrownPro" w:hAnsi="BrownPro" w:cs="Arial"/>
                <w:color w:val="000000" w:themeColor="text1"/>
                <w:sz w:val="22"/>
                <w:szCs w:val="22"/>
                <w:lang w:val="it-IT"/>
              </w:rPr>
              <w:t>.</w:t>
            </w:r>
          </w:p>
        </w:tc>
        <w:tc>
          <w:tcPr>
            <w:tcW w:w="7473"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r w:rsidR="00BA6413" w:rsidRPr="007735EA" w:rsidTr="00BA6413">
        <w:tc>
          <w:tcPr>
            <w:tcW w:w="7371" w:type="dxa"/>
          </w:tcPr>
          <w:p w:rsidR="00BA6413" w:rsidRPr="007735EA" w:rsidRDefault="00D3738A"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lastRenderedPageBreak/>
              <w:t>I collaboratori particolarmente a rischio sono informati sui loro diritti e sulle misure di protezione adottate dall'azienda</w:t>
            </w:r>
            <w:r w:rsidR="00BA6413" w:rsidRPr="007735EA">
              <w:rPr>
                <w:rFonts w:ascii="BrownPro" w:hAnsi="BrownPro" w:cs="Arial"/>
                <w:color w:val="000000" w:themeColor="text1"/>
                <w:sz w:val="22"/>
                <w:szCs w:val="22"/>
                <w:lang w:val="it-IT"/>
              </w:rPr>
              <w:t>.</w:t>
            </w:r>
          </w:p>
        </w:tc>
        <w:tc>
          <w:tcPr>
            <w:tcW w:w="7473"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r w:rsidR="00BA6413" w:rsidRPr="007735EA" w:rsidTr="00BA6413">
        <w:tc>
          <w:tcPr>
            <w:tcW w:w="7371" w:type="dxa"/>
          </w:tcPr>
          <w:p w:rsidR="00BA6413" w:rsidRPr="007735EA" w:rsidRDefault="00D3738A"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r w:rsidRPr="0042549F">
              <w:rPr>
                <w:rFonts w:ascii="BrownPro" w:hAnsi="BrownPro" w:cs="Arial"/>
                <w:color w:val="000000" w:themeColor="text1"/>
                <w:sz w:val="22"/>
                <w:szCs w:val="22"/>
                <w:lang w:val="it-IT"/>
              </w:rPr>
              <w:t>La direzione garantisce che l’applicazione delle misure definite nel piano di protezione sia regolarmente monitorata</w:t>
            </w:r>
            <w:r w:rsidR="00BA6413" w:rsidRPr="007735EA">
              <w:rPr>
                <w:rFonts w:ascii="BrownPro" w:hAnsi="BrownPro" w:cs="Arial"/>
                <w:color w:val="000000" w:themeColor="text1"/>
                <w:sz w:val="22"/>
                <w:szCs w:val="22"/>
                <w:lang w:val="it-IT"/>
              </w:rPr>
              <w:t>.</w:t>
            </w:r>
          </w:p>
        </w:tc>
        <w:tc>
          <w:tcPr>
            <w:tcW w:w="7473" w:type="dxa"/>
          </w:tcPr>
          <w:p w:rsidR="00BA6413" w:rsidRPr="007735EA" w:rsidRDefault="00BA6413" w:rsidP="00BA6413">
            <w:pPr>
              <w:pStyle w:val="Listenabsatz"/>
              <w:numPr>
                <w:ilvl w:val="0"/>
                <w:numId w:val="21"/>
              </w:numPr>
              <w:spacing w:before="120" w:after="120"/>
              <w:ind w:left="357" w:hanging="357"/>
              <w:contextualSpacing w:val="0"/>
              <w:rPr>
                <w:rFonts w:ascii="BrownPro" w:hAnsi="BrownPro" w:cs="Arial"/>
                <w:color w:val="000000" w:themeColor="text1"/>
                <w:sz w:val="22"/>
                <w:szCs w:val="22"/>
                <w:lang w:val="it-IT"/>
              </w:rPr>
            </w:pPr>
          </w:p>
        </w:tc>
      </w:tr>
    </w:tbl>
    <w:p w:rsidR="003A7E8B" w:rsidRPr="007735EA" w:rsidRDefault="003A7E8B" w:rsidP="003A7E8B">
      <w:pPr>
        <w:rPr>
          <w:rFonts w:ascii="BrownPro" w:hAnsi="BrownPro" w:cs="Arial"/>
          <w:color w:val="000000" w:themeColor="text1"/>
          <w:sz w:val="22"/>
          <w:szCs w:val="22"/>
          <w:lang w:val="it-IT"/>
        </w:rPr>
      </w:pPr>
    </w:p>
    <w:p w:rsidR="00BA6413" w:rsidRPr="007735EA" w:rsidRDefault="00BA6413" w:rsidP="00BA6413">
      <w:pPr>
        <w:rPr>
          <w:rFonts w:ascii="BrownPro" w:hAnsi="BrownPro" w:cs="Arial"/>
          <w:color w:val="000000" w:themeColor="text1"/>
          <w:sz w:val="22"/>
          <w:szCs w:val="22"/>
          <w:lang w:val="it-IT"/>
        </w:rPr>
      </w:pPr>
    </w:p>
    <w:p w:rsidR="00BA6413" w:rsidRDefault="00D3738A" w:rsidP="00BA6413">
      <w:pPr>
        <w:rPr>
          <w:rFonts w:ascii="MS Mincho" w:eastAsia="MS Mincho" w:hAnsi="MS Mincho" w:cs="MS Mincho"/>
          <w:color w:val="000000" w:themeColor="text1"/>
          <w:sz w:val="22"/>
          <w:szCs w:val="22"/>
          <w:lang w:val="it-IT"/>
        </w:rPr>
      </w:pPr>
      <w:r w:rsidRPr="00D3738A">
        <w:rPr>
          <w:rFonts w:ascii="BrownPro" w:hAnsi="BrownPro" w:cs="Arial"/>
          <w:color w:val="000000" w:themeColor="text1"/>
          <w:sz w:val="22"/>
          <w:szCs w:val="22"/>
          <w:lang w:val="it-IT"/>
        </w:rPr>
        <w:t>Eventuali ulteriori misure</w:t>
      </w:r>
      <w:r w:rsidRPr="00D3738A">
        <w:t xml:space="preserve"> </w:t>
      </w:r>
      <w:r w:rsidRPr="00D3738A">
        <w:rPr>
          <w:rFonts w:ascii="BrownPro" w:hAnsi="BrownPro" w:cs="Arial"/>
          <w:color w:val="000000" w:themeColor="text1"/>
          <w:sz w:val="22"/>
          <w:szCs w:val="22"/>
          <w:lang w:val="it-IT"/>
        </w:rPr>
        <w:t>per l’informazione e il management</w:t>
      </w:r>
      <w:r w:rsidRPr="00D3738A">
        <w:rPr>
          <w:rFonts w:ascii="MS Mincho" w:eastAsia="MS Mincho" w:hAnsi="MS Mincho" w:cs="MS Mincho" w:hint="eastAsia"/>
          <w:color w:val="000000" w:themeColor="text1"/>
          <w:sz w:val="22"/>
          <w:szCs w:val="22"/>
          <w:lang w:val="it-IT"/>
        </w:rPr>
        <w:t> </w:t>
      </w:r>
    </w:p>
    <w:p w:rsidR="00D3738A" w:rsidRPr="00D3738A" w:rsidRDefault="00D3738A" w:rsidP="00BA6413">
      <w:pPr>
        <w:rPr>
          <w:rFonts w:ascii="BrownPro" w:hAnsi="BrownPro" w:cs="Arial"/>
          <w:color w:val="000000" w:themeColor="text1"/>
          <w:sz w:val="22"/>
          <w:szCs w:val="22"/>
          <w:lang w:val="it-I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D3738A" w:rsidTr="00F670D7">
        <w:trPr>
          <w:trHeight w:val="490"/>
        </w:trPr>
        <w:tc>
          <w:tcPr>
            <w:tcW w:w="14884" w:type="dxa"/>
          </w:tcPr>
          <w:p w:rsidR="00BA6413" w:rsidRPr="00D3738A" w:rsidRDefault="00BA6413" w:rsidP="00F670D7">
            <w:pPr>
              <w:rPr>
                <w:rFonts w:ascii="BrownPro" w:hAnsi="BrownPro" w:cs="Arial"/>
                <w:color w:val="000000" w:themeColor="text1"/>
                <w:sz w:val="22"/>
                <w:szCs w:val="22"/>
                <w:lang w:val="it-IT"/>
              </w:rPr>
            </w:pPr>
          </w:p>
          <w:p w:rsidR="00BA6413" w:rsidRPr="00D3738A" w:rsidRDefault="00BA6413" w:rsidP="00F670D7">
            <w:pPr>
              <w:rPr>
                <w:rFonts w:ascii="BrownPro" w:hAnsi="BrownPro" w:cs="Arial"/>
                <w:color w:val="000000" w:themeColor="text1"/>
                <w:sz w:val="22"/>
                <w:szCs w:val="22"/>
                <w:lang w:val="it-IT"/>
              </w:rPr>
            </w:pPr>
          </w:p>
          <w:p w:rsidR="00BA6413" w:rsidRPr="00D3738A" w:rsidRDefault="00BA6413" w:rsidP="00F670D7">
            <w:pPr>
              <w:rPr>
                <w:rFonts w:ascii="BrownPro" w:hAnsi="BrownPro" w:cs="Arial"/>
                <w:color w:val="000000" w:themeColor="text1"/>
                <w:sz w:val="22"/>
                <w:szCs w:val="22"/>
                <w:lang w:val="it-IT"/>
              </w:rPr>
            </w:pPr>
          </w:p>
          <w:p w:rsidR="00BA6413" w:rsidRPr="00D3738A" w:rsidRDefault="00BA6413" w:rsidP="00F670D7">
            <w:pPr>
              <w:rPr>
                <w:rFonts w:ascii="BrownPro" w:hAnsi="BrownPro" w:cs="Arial"/>
                <w:color w:val="000000" w:themeColor="text1"/>
                <w:sz w:val="22"/>
                <w:szCs w:val="22"/>
                <w:lang w:val="it-IT"/>
              </w:rPr>
            </w:pPr>
          </w:p>
        </w:tc>
      </w:tr>
    </w:tbl>
    <w:p w:rsidR="00BA6413" w:rsidRPr="00D3738A" w:rsidRDefault="00BA6413" w:rsidP="00BA6413">
      <w:pPr>
        <w:pStyle w:val="Listenabsatz"/>
        <w:ind w:left="360"/>
        <w:rPr>
          <w:rFonts w:ascii="BrownPro" w:hAnsi="BrownPro" w:cs="Arial"/>
          <w:color w:val="000000" w:themeColor="text1"/>
          <w:sz w:val="22"/>
          <w:szCs w:val="22"/>
          <w:lang w:val="it-IT"/>
        </w:rPr>
      </w:pPr>
    </w:p>
    <w:p w:rsidR="00D3738A" w:rsidRPr="0042549F" w:rsidRDefault="00D3738A" w:rsidP="00D3738A">
      <w:pPr>
        <w:rPr>
          <w:rFonts w:ascii="BrownPro" w:hAnsi="BrownPro" w:cs="Arial"/>
          <w:b/>
          <w:bCs/>
          <w:color w:val="000000" w:themeColor="text1"/>
          <w:lang w:val="it-IT"/>
        </w:rPr>
      </w:pPr>
      <w:r w:rsidRPr="0042549F">
        <w:rPr>
          <w:rFonts w:ascii="BrownPro" w:hAnsi="BrownPro" w:cs="Arial"/>
          <w:b/>
          <w:bCs/>
          <w:color w:val="000000" w:themeColor="text1"/>
          <w:lang w:val="it-IT"/>
        </w:rPr>
        <w:t>Allegato 1: Sintomi COVID-19 secondo UFSP (stato 24.4.2020)</w:t>
      </w:r>
    </w:p>
    <w:p w:rsidR="00D3738A" w:rsidRPr="0042549F" w:rsidRDefault="00D3738A" w:rsidP="00D3738A">
      <w:pPr>
        <w:rPr>
          <w:rFonts w:ascii="BrownPro" w:hAnsi="BrownPro" w:cs="Arial"/>
          <w:color w:val="000000" w:themeColor="text1"/>
          <w:sz w:val="22"/>
          <w:szCs w:val="22"/>
          <w:lang w:val="it-IT"/>
        </w:rPr>
      </w:pPr>
    </w:p>
    <w:p w:rsidR="00D3738A" w:rsidRPr="0042549F" w:rsidRDefault="00D3738A" w:rsidP="00D3738A">
      <w:p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Questi compaiono spesso:</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tosse (perlopiù secca)</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mal di gola</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affanno</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febbre, sensazione di febbre</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dolori muscolari</w:t>
      </w:r>
    </w:p>
    <w:p w:rsidR="00D3738A" w:rsidRPr="0042549F" w:rsidRDefault="00D3738A" w:rsidP="00D3738A">
      <w:pPr>
        <w:pStyle w:val="Listenabsatz"/>
        <w:numPr>
          <w:ilvl w:val="0"/>
          <w:numId w:val="35"/>
        </w:num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 xml:space="preserve">perdita improvvisa dell’olfatto e/o del gusto </w:t>
      </w:r>
    </w:p>
    <w:p w:rsidR="00D3738A" w:rsidRPr="0042549F" w:rsidRDefault="00D3738A" w:rsidP="00D3738A">
      <w:pPr>
        <w:spacing w:before="100" w:beforeAutospacing="1" w:after="100" w:afterAutospacing="1"/>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 xml:space="preserve">Questi invece raramente: </w:t>
      </w:r>
    </w:p>
    <w:p w:rsidR="00D3738A" w:rsidRPr="0042549F" w:rsidRDefault="00D3738A" w:rsidP="00D3738A">
      <w:pPr>
        <w:numPr>
          <w:ilvl w:val="0"/>
          <w:numId w:val="28"/>
        </w:numPr>
        <w:spacing w:before="100" w:beforeAutospacing="1" w:after="100" w:afterAutospacing="1"/>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mal di testa</w:t>
      </w:r>
    </w:p>
    <w:p w:rsidR="00D3738A" w:rsidRPr="0042549F" w:rsidRDefault="00D3738A" w:rsidP="00D3738A">
      <w:pPr>
        <w:numPr>
          <w:ilvl w:val="0"/>
          <w:numId w:val="28"/>
        </w:numPr>
        <w:spacing w:before="100" w:beforeAutospacing="1" w:after="100" w:afterAutospacing="1"/>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sintomi gastrointestinali</w:t>
      </w:r>
    </w:p>
    <w:p w:rsidR="00D3738A" w:rsidRPr="0042549F" w:rsidRDefault="00D3738A" w:rsidP="00D3738A">
      <w:pPr>
        <w:numPr>
          <w:ilvl w:val="0"/>
          <w:numId w:val="28"/>
        </w:numPr>
        <w:spacing w:before="100" w:beforeAutospacing="1" w:after="100" w:afterAutospacing="1"/>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congiuntivite</w:t>
      </w:r>
    </w:p>
    <w:p w:rsidR="00D3738A" w:rsidRPr="0042549F" w:rsidRDefault="00D3738A" w:rsidP="00D3738A">
      <w:pPr>
        <w:numPr>
          <w:ilvl w:val="0"/>
          <w:numId w:val="28"/>
        </w:numPr>
        <w:spacing w:before="100" w:beforeAutospacing="1" w:after="100" w:afterAutospacing="1"/>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t>raffreddore</w:t>
      </w:r>
    </w:p>
    <w:p w:rsidR="00D3738A" w:rsidRPr="0042549F" w:rsidRDefault="00D3738A" w:rsidP="00D3738A">
      <w:pPr>
        <w:spacing w:after="326"/>
        <w:rPr>
          <w:rFonts w:ascii="BrownPro" w:eastAsia="Times New Roman" w:hAnsi="BrownPro" w:cs="Arial"/>
          <w:color w:val="000000" w:themeColor="text1"/>
          <w:sz w:val="22"/>
          <w:szCs w:val="22"/>
          <w:lang w:val="it-IT" w:eastAsia="de-DE"/>
        </w:rPr>
      </w:pPr>
      <w:r w:rsidRPr="0042549F">
        <w:rPr>
          <w:rFonts w:ascii="BrownPro" w:eastAsia="Times New Roman" w:hAnsi="BrownPro" w:cs="Arial"/>
          <w:color w:val="000000" w:themeColor="text1"/>
          <w:sz w:val="22"/>
          <w:szCs w:val="22"/>
          <w:lang w:val="it-IT" w:eastAsia="de-DE"/>
        </w:rPr>
        <w:lastRenderedPageBreak/>
        <w:t>I sintomi di malattia possono variare sensibilmente ed essere anche lievi. Possono però presentarsi complicazioni, come una polmonite.</w:t>
      </w:r>
    </w:p>
    <w:p w:rsidR="00D3738A" w:rsidRPr="0042549F" w:rsidRDefault="00D3738A" w:rsidP="00D3738A">
      <w:pPr>
        <w:rPr>
          <w:rFonts w:ascii="BrownPro" w:hAnsi="BrownPro" w:cs="Arial"/>
          <w:color w:val="000000" w:themeColor="text1"/>
          <w:sz w:val="22"/>
          <w:szCs w:val="22"/>
          <w:lang w:val="it-IT"/>
        </w:rPr>
      </w:pPr>
    </w:p>
    <w:p w:rsidR="00D3738A" w:rsidRPr="0042549F" w:rsidRDefault="00D3738A" w:rsidP="00D3738A">
      <w:pPr>
        <w:rPr>
          <w:rFonts w:ascii="BrownPro" w:hAnsi="BrownPro" w:cs="Arial"/>
          <w:color w:val="000000" w:themeColor="text1"/>
          <w:sz w:val="22"/>
          <w:szCs w:val="22"/>
          <w:lang w:val="it-IT"/>
        </w:rPr>
      </w:pPr>
    </w:p>
    <w:p w:rsidR="00D3738A" w:rsidRPr="0042549F" w:rsidRDefault="00D3738A" w:rsidP="00D3738A">
      <w:pPr>
        <w:rPr>
          <w:rFonts w:ascii="BrownPro" w:hAnsi="BrownPro" w:cs="Arial"/>
          <w:color w:val="000000" w:themeColor="text1"/>
          <w:sz w:val="22"/>
          <w:szCs w:val="22"/>
          <w:lang w:val="it-IT"/>
        </w:rPr>
      </w:pPr>
    </w:p>
    <w:p w:rsidR="00D3738A" w:rsidRPr="0042549F" w:rsidRDefault="00D3738A" w:rsidP="00D3738A">
      <w:pPr>
        <w:rPr>
          <w:rFonts w:ascii="BrownPro" w:hAnsi="BrownPro" w:cs="Arial"/>
          <w:color w:val="000000" w:themeColor="text1"/>
          <w:sz w:val="22"/>
          <w:szCs w:val="22"/>
          <w:lang w:val="it-IT"/>
        </w:rPr>
      </w:pPr>
    </w:p>
    <w:p w:rsidR="00D3738A" w:rsidRPr="0042549F" w:rsidRDefault="00D3738A" w:rsidP="00D3738A">
      <w:pPr>
        <w:rPr>
          <w:rFonts w:ascii="BrownPro" w:hAnsi="BrownPro" w:cs="Arial"/>
          <w:b/>
          <w:bCs/>
          <w:color w:val="000000" w:themeColor="text1"/>
          <w:lang w:val="it-IT"/>
        </w:rPr>
      </w:pPr>
      <w:r w:rsidRPr="0042549F">
        <w:rPr>
          <w:rFonts w:ascii="BrownPro" w:hAnsi="BrownPro" w:cs="Arial"/>
          <w:b/>
          <w:bCs/>
          <w:color w:val="000000" w:themeColor="text1"/>
          <w:lang w:val="it-IT"/>
        </w:rPr>
        <w:t>Allegato 2: Malattie rilevanti secondo l’ordinanza 2 COVID-19 Art. 10</w:t>
      </w:r>
    </w:p>
    <w:p w:rsidR="00D3738A" w:rsidRPr="0042549F" w:rsidRDefault="00D3738A" w:rsidP="00D3738A">
      <w:pPr>
        <w:rPr>
          <w:rFonts w:ascii="BrownPro" w:hAnsi="BrownPro" w:cs="Arial"/>
          <w:color w:val="000000" w:themeColor="text1"/>
          <w:lang w:val="it-IT"/>
        </w:rPr>
      </w:pPr>
    </w:p>
    <w:p w:rsidR="00D3738A" w:rsidRPr="0042549F" w:rsidRDefault="00D3738A" w:rsidP="00D3738A">
      <w:pPr>
        <w:pStyle w:val="Listenabsatz"/>
        <w:numPr>
          <w:ilvl w:val="0"/>
          <w:numId w:val="26"/>
        </w:numPr>
        <w:rPr>
          <w:rFonts w:ascii="BrownPro" w:eastAsia="Times New Roman" w:hAnsi="BrownPro" w:cs="Arial"/>
          <w:color w:val="000000" w:themeColor="text1"/>
          <w:sz w:val="23"/>
          <w:szCs w:val="23"/>
          <w:lang w:val="it-IT" w:eastAsia="de-DE"/>
        </w:rPr>
      </w:pPr>
      <w:r w:rsidRPr="0042549F">
        <w:rPr>
          <w:rFonts w:ascii="BrownPro" w:eastAsia="Times New Roman" w:hAnsi="BrownPro" w:cs="Arial"/>
          <w:color w:val="000000" w:themeColor="text1"/>
          <w:sz w:val="23"/>
          <w:szCs w:val="23"/>
          <w:lang w:val="it-IT" w:eastAsia="de-DE"/>
        </w:rPr>
        <w:t>ipertensione arteriosa</w:t>
      </w:r>
    </w:p>
    <w:p w:rsidR="00D3738A" w:rsidRPr="0042549F" w:rsidRDefault="00D3738A" w:rsidP="00D3738A">
      <w:pPr>
        <w:pStyle w:val="Listenabsatz"/>
        <w:numPr>
          <w:ilvl w:val="0"/>
          <w:numId w:val="26"/>
        </w:numPr>
        <w:rPr>
          <w:rFonts w:ascii="BrownPro" w:eastAsia="Times New Roman" w:hAnsi="BrownPro" w:cs="Arial"/>
          <w:color w:val="000000" w:themeColor="text1"/>
          <w:sz w:val="23"/>
          <w:szCs w:val="23"/>
          <w:lang w:val="it-IT" w:eastAsia="de-DE"/>
        </w:rPr>
      </w:pPr>
      <w:r w:rsidRPr="0042549F">
        <w:rPr>
          <w:rFonts w:ascii="BrownPro" w:eastAsia="Times New Roman" w:hAnsi="BrownPro" w:cs="Arial"/>
          <w:color w:val="000000" w:themeColor="text1"/>
          <w:sz w:val="23"/>
          <w:szCs w:val="23"/>
          <w:lang w:val="it-IT" w:eastAsia="de-DE"/>
        </w:rPr>
        <w:t>malattie croniche delle vie respiratorie</w:t>
      </w:r>
    </w:p>
    <w:p w:rsidR="00D3738A" w:rsidRPr="0042549F" w:rsidRDefault="00D3738A" w:rsidP="00D3738A">
      <w:pPr>
        <w:pStyle w:val="Listenabsatz"/>
        <w:numPr>
          <w:ilvl w:val="0"/>
          <w:numId w:val="26"/>
        </w:numPr>
        <w:rPr>
          <w:rFonts w:ascii="BrownPro" w:eastAsia="Times New Roman" w:hAnsi="BrownPro" w:cs="Arial"/>
          <w:color w:val="000000" w:themeColor="text1"/>
          <w:sz w:val="23"/>
          <w:szCs w:val="23"/>
          <w:lang w:val="it-IT" w:eastAsia="de-DE"/>
        </w:rPr>
      </w:pPr>
      <w:r w:rsidRPr="0042549F">
        <w:rPr>
          <w:rFonts w:ascii="BrownPro" w:eastAsia="Times New Roman" w:hAnsi="BrownPro" w:cs="Arial"/>
          <w:color w:val="000000" w:themeColor="text1"/>
          <w:sz w:val="23"/>
          <w:szCs w:val="23"/>
          <w:lang w:val="it-IT" w:eastAsia="de-DE"/>
        </w:rPr>
        <w:t>diabete</w:t>
      </w:r>
    </w:p>
    <w:p w:rsidR="00D3738A" w:rsidRPr="0042549F" w:rsidRDefault="00D3738A" w:rsidP="00D3738A">
      <w:pPr>
        <w:pStyle w:val="Listenabsatz"/>
        <w:numPr>
          <w:ilvl w:val="0"/>
          <w:numId w:val="26"/>
        </w:numPr>
        <w:rPr>
          <w:rFonts w:ascii="BrownPro" w:eastAsia="Times New Roman" w:hAnsi="BrownPro" w:cs="Arial"/>
          <w:color w:val="000000" w:themeColor="text1"/>
          <w:sz w:val="23"/>
          <w:szCs w:val="23"/>
          <w:lang w:val="it-IT" w:eastAsia="de-DE"/>
        </w:rPr>
      </w:pPr>
      <w:r w:rsidRPr="0042549F">
        <w:rPr>
          <w:rFonts w:ascii="BrownPro" w:eastAsia="Times New Roman" w:hAnsi="BrownPro" w:cs="Arial"/>
          <w:color w:val="000000" w:themeColor="text1"/>
          <w:sz w:val="23"/>
          <w:szCs w:val="23"/>
          <w:lang w:val="it-IT" w:eastAsia="de-DE"/>
        </w:rPr>
        <w:t>malattie e terapie che indeboliscono il sistema immunitario</w:t>
      </w:r>
    </w:p>
    <w:p w:rsidR="00D3738A" w:rsidRPr="0042549F" w:rsidRDefault="00D3738A" w:rsidP="00D3738A">
      <w:pPr>
        <w:pStyle w:val="Listenabsatz"/>
        <w:numPr>
          <w:ilvl w:val="0"/>
          <w:numId w:val="26"/>
        </w:numPr>
        <w:rPr>
          <w:rFonts w:ascii="BrownPro" w:eastAsia="Times New Roman" w:hAnsi="BrownPro" w:cs="Arial"/>
          <w:color w:val="000000" w:themeColor="text1"/>
          <w:sz w:val="23"/>
          <w:szCs w:val="23"/>
          <w:lang w:val="it-IT" w:eastAsia="de-DE"/>
        </w:rPr>
      </w:pPr>
      <w:r w:rsidRPr="0042549F">
        <w:rPr>
          <w:rFonts w:ascii="BrownPro" w:eastAsia="Times New Roman" w:hAnsi="BrownPro" w:cs="Arial"/>
          <w:color w:val="000000" w:themeColor="text1"/>
          <w:sz w:val="23"/>
          <w:szCs w:val="23"/>
          <w:lang w:val="it-IT" w:eastAsia="de-DE"/>
        </w:rPr>
        <w:t>malattie cardiovascolari</w:t>
      </w:r>
    </w:p>
    <w:p w:rsidR="00D3738A" w:rsidRPr="0042549F" w:rsidRDefault="00D3738A" w:rsidP="00D3738A">
      <w:pPr>
        <w:pStyle w:val="Listenabsatz"/>
        <w:numPr>
          <w:ilvl w:val="0"/>
          <w:numId w:val="26"/>
        </w:numPr>
        <w:rPr>
          <w:rFonts w:ascii="BrownPro" w:hAnsi="BrownPro" w:cs="Arial"/>
          <w:color w:val="000000" w:themeColor="text1"/>
          <w:sz w:val="22"/>
          <w:szCs w:val="22"/>
          <w:lang w:val="it-IT"/>
        </w:rPr>
      </w:pPr>
      <w:r w:rsidRPr="0042549F">
        <w:rPr>
          <w:rFonts w:ascii="BrownPro" w:eastAsia="Times New Roman" w:hAnsi="BrownPro" w:cs="Arial"/>
          <w:color w:val="000000" w:themeColor="text1"/>
          <w:sz w:val="23"/>
          <w:szCs w:val="23"/>
          <w:lang w:val="it-IT" w:eastAsia="de-DE"/>
        </w:rPr>
        <w:t>cancro</w:t>
      </w:r>
    </w:p>
    <w:p w:rsidR="003A7E8B" w:rsidRPr="007735EA" w:rsidRDefault="003A7E8B" w:rsidP="003A7E8B">
      <w:pPr>
        <w:rPr>
          <w:rFonts w:ascii="BrownPro" w:hAnsi="BrownPro" w:cs="Arial"/>
          <w:color w:val="000000" w:themeColor="text1"/>
          <w:sz w:val="22"/>
          <w:szCs w:val="22"/>
          <w:lang w:val="it-IT"/>
        </w:rPr>
      </w:pPr>
    </w:p>
    <w:sectPr w:rsidR="003A7E8B" w:rsidRPr="007735EA" w:rsidSect="00D3738A">
      <w:footerReference w:type="even" r:id="rId7"/>
      <w:footerReference w:type="default" r:id="rId8"/>
      <w:pgSz w:w="16840" w:h="11900"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50F" w:rsidRDefault="00D5650F" w:rsidP="009D2F90">
      <w:r>
        <w:separator/>
      </w:r>
    </w:p>
  </w:endnote>
  <w:endnote w:type="continuationSeparator" w:id="0">
    <w:p w:rsidR="00D5650F" w:rsidRDefault="00D5650F"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rownPro">
    <w:panose1 w:val="00010500010101010101"/>
    <w:charset w:val="4D"/>
    <w:family w:val="auto"/>
    <w:notTrueType/>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89447728"/>
      <w:docPartObj>
        <w:docPartGallery w:val="Page Numbers (Bottom of Page)"/>
        <w:docPartUnique/>
      </w:docPartObj>
    </w:sdtPr>
    <w:sdtEndPr>
      <w:rPr>
        <w:rStyle w:val="Seitenzahl"/>
      </w:rPr>
    </w:sdtEndPr>
    <w:sdtContent>
      <w:p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50F" w:rsidRDefault="00D5650F" w:rsidP="009D2F90">
      <w:r>
        <w:separator/>
      </w:r>
    </w:p>
  </w:footnote>
  <w:footnote w:type="continuationSeparator" w:id="0">
    <w:p w:rsidR="00D5650F" w:rsidRDefault="00D5650F"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D4D32"/>
    <w:multiLevelType w:val="hybridMultilevel"/>
    <w:tmpl w:val="5830A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3977C4"/>
    <w:multiLevelType w:val="hybridMultilevel"/>
    <w:tmpl w:val="FE1283B4"/>
    <w:lvl w:ilvl="0" w:tplc="0410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850B0"/>
    <w:multiLevelType w:val="hybridMultilevel"/>
    <w:tmpl w:val="1ED8A0EA"/>
    <w:lvl w:ilvl="0" w:tplc="D4B845CC">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3B0751"/>
    <w:multiLevelType w:val="hybridMultilevel"/>
    <w:tmpl w:val="D6FAAF9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6E2569"/>
    <w:multiLevelType w:val="multilevel"/>
    <w:tmpl w:val="9E06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FE1CB8"/>
    <w:multiLevelType w:val="hybridMultilevel"/>
    <w:tmpl w:val="015A2984"/>
    <w:lvl w:ilvl="0" w:tplc="0410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7"/>
    <w:lvlOverride w:ilvl="0">
      <w:startOverride w:val="9"/>
    </w:lvlOverride>
  </w:num>
  <w:num w:numId="3">
    <w:abstractNumId w:val="29"/>
  </w:num>
  <w:num w:numId="4">
    <w:abstractNumId w:val="5"/>
  </w:num>
  <w:num w:numId="5">
    <w:abstractNumId w:val="1"/>
  </w:num>
  <w:num w:numId="6">
    <w:abstractNumId w:val="30"/>
  </w:num>
  <w:num w:numId="7">
    <w:abstractNumId w:val="18"/>
  </w:num>
  <w:num w:numId="8">
    <w:abstractNumId w:val="25"/>
  </w:num>
  <w:num w:numId="9">
    <w:abstractNumId w:val="10"/>
  </w:num>
  <w:num w:numId="10">
    <w:abstractNumId w:val="3"/>
  </w:num>
  <w:num w:numId="11">
    <w:abstractNumId w:val="24"/>
  </w:num>
  <w:num w:numId="12">
    <w:abstractNumId w:val="22"/>
  </w:num>
  <w:num w:numId="13">
    <w:abstractNumId w:val="31"/>
  </w:num>
  <w:num w:numId="14">
    <w:abstractNumId w:val="3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13"/>
  </w:num>
  <w:num w:numId="19">
    <w:abstractNumId w:val="33"/>
  </w:num>
  <w:num w:numId="20">
    <w:abstractNumId w:val="19"/>
  </w:num>
  <w:num w:numId="21">
    <w:abstractNumId w:val="28"/>
  </w:num>
  <w:num w:numId="22">
    <w:abstractNumId w:val="34"/>
  </w:num>
  <w:num w:numId="23">
    <w:abstractNumId w:val="9"/>
  </w:num>
  <w:num w:numId="24">
    <w:abstractNumId w:val="12"/>
  </w:num>
  <w:num w:numId="25">
    <w:abstractNumId w:val="16"/>
  </w:num>
  <w:num w:numId="26">
    <w:abstractNumId w:val="8"/>
  </w:num>
  <w:num w:numId="27">
    <w:abstractNumId w:val="14"/>
  </w:num>
  <w:num w:numId="28">
    <w:abstractNumId w:val="26"/>
  </w:num>
  <w:num w:numId="29">
    <w:abstractNumId w:val="11"/>
  </w:num>
  <w:num w:numId="30">
    <w:abstractNumId w:val="17"/>
  </w:num>
  <w:num w:numId="31">
    <w:abstractNumId w:val="21"/>
  </w:num>
  <w:num w:numId="32">
    <w:abstractNumId w:val="15"/>
  </w:num>
  <w:num w:numId="33">
    <w:abstractNumId w:val="23"/>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369D"/>
    <w:rsid w:val="001A550C"/>
    <w:rsid w:val="001B1176"/>
    <w:rsid w:val="001B152C"/>
    <w:rsid w:val="001B3A4C"/>
    <w:rsid w:val="001D0678"/>
    <w:rsid w:val="001D5F40"/>
    <w:rsid w:val="001E38DB"/>
    <w:rsid w:val="00204806"/>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305C56"/>
    <w:rsid w:val="003243F2"/>
    <w:rsid w:val="00325AC2"/>
    <w:rsid w:val="00331935"/>
    <w:rsid w:val="00334AD0"/>
    <w:rsid w:val="0034354A"/>
    <w:rsid w:val="00362AFE"/>
    <w:rsid w:val="003755DA"/>
    <w:rsid w:val="00377539"/>
    <w:rsid w:val="00383BF5"/>
    <w:rsid w:val="00392BF3"/>
    <w:rsid w:val="00396F77"/>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419F5"/>
    <w:rsid w:val="005429CE"/>
    <w:rsid w:val="00542F13"/>
    <w:rsid w:val="00545BD1"/>
    <w:rsid w:val="0055521B"/>
    <w:rsid w:val="00564A40"/>
    <w:rsid w:val="005801A8"/>
    <w:rsid w:val="0058288D"/>
    <w:rsid w:val="0058721C"/>
    <w:rsid w:val="00587E9C"/>
    <w:rsid w:val="005A25C9"/>
    <w:rsid w:val="005A781A"/>
    <w:rsid w:val="005A7C96"/>
    <w:rsid w:val="005B0160"/>
    <w:rsid w:val="005D34F1"/>
    <w:rsid w:val="005D5EB9"/>
    <w:rsid w:val="005E21C9"/>
    <w:rsid w:val="005F62D2"/>
    <w:rsid w:val="00605CE5"/>
    <w:rsid w:val="00611552"/>
    <w:rsid w:val="00621AA2"/>
    <w:rsid w:val="0062788B"/>
    <w:rsid w:val="00627FE9"/>
    <w:rsid w:val="00643944"/>
    <w:rsid w:val="00651384"/>
    <w:rsid w:val="00654922"/>
    <w:rsid w:val="006625F0"/>
    <w:rsid w:val="006645D4"/>
    <w:rsid w:val="00680E35"/>
    <w:rsid w:val="006A5B98"/>
    <w:rsid w:val="006B5506"/>
    <w:rsid w:val="006C034A"/>
    <w:rsid w:val="006C0548"/>
    <w:rsid w:val="006C19AD"/>
    <w:rsid w:val="006F4520"/>
    <w:rsid w:val="0070340B"/>
    <w:rsid w:val="007173FF"/>
    <w:rsid w:val="007174DF"/>
    <w:rsid w:val="0073151D"/>
    <w:rsid w:val="0073553B"/>
    <w:rsid w:val="0074217F"/>
    <w:rsid w:val="00743BB9"/>
    <w:rsid w:val="00744D92"/>
    <w:rsid w:val="007647A9"/>
    <w:rsid w:val="007735EA"/>
    <w:rsid w:val="007741EC"/>
    <w:rsid w:val="0078044B"/>
    <w:rsid w:val="007836FE"/>
    <w:rsid w:val="007904A0"/>
    <w:rsid w:val="00793014"/>
    <w:rsid w:val="00794C3A"/>
    <w:rsid w:val="0079588E"/>
    <w:rsid w:val="007A56CC"/>
    <w:rsid w:val="007B7BCC"/>
    <w:rsid w:val="007B7D7C"/>
    <w:rsid w:val="007C4CAD"/>
    <w:rsid w:val="007D2F8B"/>
    <w:rsid w:val="007D6DEC"/>
    <w:rsid w:val="007E1CC2"/>
    <w:rsid w:val="007E2899"/>
    <w:rsid w:val="007F18A5"/>
    <w:rsid w:val="00825DB6"/>
    <w:rsid w:val="00826BDB"/>
    <w:rsid w:val="008400F3"/>
    <w:rsid w:val="008434BC"/>
    <w:rsid w:val="0085564B"/>
    <w:rsid w:val="0086068F"/>
    <w:rsid w:val="00862764"/>
    <w:rsid w:val="00870002"/>
    <w:rsid w:val="008812DF"/>
    <w:rsid w:val="008846DD"/>
    <w:rsid w:val="00894EDD"/>
    <w:rsid w:val="00895D58"/>
    <w:rsid w:val="008A5D1E"/>
    <w:rsid w:val="008B150E"/>
    <w:rsid w:val="008B60C2"/>
    <w:rsid w:val="008D427B"/>
    <w:rsid w:val="008D7BAC"/>
    <w:rsid w:val="008E1A87"/>
    <w:rsid w:val="008E1F84"/>
    <w:rsid w:val="008E3187"/>
    <w:rsid w:val="008E5569"/>
    <w:rsid w:val="008F49F2"/>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63B"/>
    <w:rsid w:val="00996D20"/>
    <w:rsid w:val="009B3375"/>
    <w:rsid w:val="009B5FB8"/>
    <w:rsid w:val="009D2F90"/>
    <w:rsid w:val="009F28C4"/>
    <w:rsid w:val="00A03C54"/>
    <w:rsid w:val="00A03C6B"/>
    <w:rsid w:val="00A12B7D"/>
    <w:rsid w:val="00A1324A"/>
    <w:rsid w:val="00A16CBC"/>
    <w:rsid w:val="00A21091"/>
    <w:rsid w:val="00A254AA"/>
    <w:rsid w:val="00A34FDF"/>
    <w:rsid w:val="00A46FB6"/>
    <w:rsid w:val="00A56D4A"/>
    <w:rsid w:val="00A606A0"/>
    <w:rsid w:val="00A61B7D"/>
    <w:rsid w:val="00A80044"/>
    <w:rsid w:val="00A8235E"/>
    <w:rsid w:val="00A83F7F"/>
    <w:rsid w:val="00A93182"/>
    <w:rsid w:val="00AA5668"/>
    <w:rsid w:val="00AB5DEC"/>
    <w:rsid w:val="00AC259B"/>
    <w:rsid w:val="00AD3AFA"/>
    <w:rsid w:val="00AF23F3"/>
    <w:rsid w:val="00AF37F7"/>
    <w:rsid w:val="00AF4177"/>
    <w:rsid w:val="00AF4199"/>
    <w:rsid w:val="00B05112"/>
    <w:rsid w:val="00B06BA7"/>
    <w:rsid w:val="00B26E23"/>
    <w:rsid w:val="00B323EE"/>
    <w:rsid w:val="00B51281"/>
    <w:rsid w:val="00B51AA8"/>
    <w:rsid w:val="00B52B24"/>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F0F86"/>
    <w:rsid w:val="00CF379C"/>
    <w:rsid w:val="00D07C4C"/>
    <w:rsid w:val="00D16603"/>
    <w:rsid w:val="00D23BC5"/>
    <w:rsid w:val="00D30878"/>
    <w:rsid w:val="00D32626"/>
    <w:rsid w:val="00D3738A"/>
    <w:rsid w:val="00D5650F"/>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F0455"/>
    <w:rsid w:val="00DF7E49"/>
    <w:rsid w:val="00E109E0"/>
    <w:rsid w:val="00E15062"/>
    <w:rsid w:val="00E21EC8"/>
    <w:rsid w:val="00E31E78"/>
    <w:rsid w:val="00E40490"/>
    <w:rsid w:val="00E435CF"/>
    <w:rsid w:val="00E77EA1"/>
    <w:rsid w:val="00E87A05"/>
    <w:rsid w:val="00EA2F64"/>
    <w:rsid w:val="00EA44C9"/>
    <w:rsid w:val="00EA58CC"/>
    <w:rsid w:val="00EC312D"/>
    <w:rsid w:val="00EF309C"/>
    <w:rsid w:val="00F14BA4"/>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 Schüepp</cp:lastModifiedBy>
  <cp:revision>2</cp:revision>
  <cp:lastPrinted>2020-03-25T15:49:00Z</cp:lastPrinted>
  <dcterms:created xsi:type="dcterms:W3CDTF">2020-05-05T09:09:00Z</dcterms:created>
  <dcterms:modified xsi:type="dcterms:W3CDTF">2020-05-05T09:09:00Z</dcterms:modified>
</cp:coreProperties>
</file>